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5E" w:rsidRPr="00855CAE" w:rsidRDefault="000C7F5E" w:rsidP="004C62EC">
      <w:pPr>
        <w:pStyle w:val="Norma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Calibri" w:hAnsi="Calibri" w:cs="Calibri"/>
          <w:color w:val="222222"/>
        </w:rPr>
      </w:pPr>
      <w:r w:rsidRPr="00855CAE">
        <w:rPr>
          <w:rFonts w:ascii="Calibri" w:hAnsi="Calibri" w:cs="Calibri"/>
          <w:b/>
          <w:bCs/>
          <w:color w:val="222222"/>
        </w:rPr>
        <w:t>229/2012. (VIII. 28.) Korm. rendelet</w:t>
      </w:r>
    </w:p>
    <w:p w:rsidR="000C7F5E" w:rsidRPr="00855CAE" w:rsidRDefault="000C7F5E" w:rsidP="004C62EC">
      <w:pPr>
        <w:pStyle w:val="Norma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Calibri" w:hAnsi="Calibri" w:cs="Calibri"/>
          <w:color w:val="222222"/>
        </w:rPr>
      </w:pPr>
      <w:r w:rsidRPr="00855CAE">
        <w:rPr>
          <w:rFonts w:ascii="Calibri" w:hAnsi="Calibri" w:cs="Calibri"/>
          <w:b/>
          <w:bCs/>
          <w:color w:val="222222"/>
        </w:rPr>
        <w:t>a nemzeti köznevelésről szóló törvény végrehajtásáról</w:t>
      </w:r>
    </w:p>
    <w:p w:rsidR="000C7F5E" w:rsidRPr="00855CAE" w:rsidRDefault="000C7F5E" w:rsidP="004C62EC">
      <w:pPr>
        <w:pStyle w:val="NormalWeb"/>
        <w:shd w:val="clear" w:color="auto" w:fill="FFFFFF"/>
        <w:spacing w:before="300" w:beforeAutospacing="0" w:after="300" w:afterAutospacing="0"/>
        <w:ind w:right="150"/>
        <w:jc w:val="center"/>
        <w:rPr>
          <w:rFonts w:ascii="Calibri" w:hAnsi="Calibri" w:cs="Calibri"/>
          <w:color w:val="222222"/>
          <w:sz w:val="20"/>
          <w:szCs w:val="20"/>
        </w:rPr>
      </w:pPr>
      <w:smartTag w:uri="urn:schemas-microsoft-com:office:smarttags" w:element="metricconverter">
        <w:smartTagPr>
          <w:attr w:name="ProductID" w:val="10. A"/>
        </w:smartTagPr>
        <w:r w:rsidRPr="00855CAE">
          <w:rPr>
            <w:rFonts w:ascii="Calibri" w:hAnsi="Calibri" w:cs="Calibri"/>
            <w:bCs/>
            <w:color w:val="222222"/>
            <w:sz w:val="20"/>
            <w:szCs w:val="20"/>
          </w:rPr>
          <w:t>10. A</w:t>
        </w:r>
      </w:smartTag>
      <w:r w:rsidRPr="00855CAE">
        <w:rPr>
          <w:rFonts w:ascii="Calibri" w:hAnsi="Calibri" w:cs="Calibri"/>
          <w:bCs/>
          <w:color w:val="222222"/>
          <w:sz w:val="20"/>
          <w:szCs w:val="20"/>
        </w:rPr>
        <w:t xml:space="preserve"> tájékoztató rendszer és a köznevelési intézmények közzétételi listája</w:t>
      </w:r>
    </w:p>
    <w:p w:rsidR="000C7F5E" w:rsidRPr="00855CAE" w:rsidRDefault="000C7F5E" w:rsidP="004C62EC">
      <w:pPr>
        <w:jc w:val="center"/>
        <w:rPr>
          <w:rFonts w:cs="Calibri"/>
        </w:rPr>
      </w:pPr>
      <w:r w:rsidRPr="00855CAE">
        <w:rPr>
          <w:rFonts w:cs="Calibri"/>
        </w:rPr>
        <w:t>23. § (1)</w:t>
      </w:r>
    </w:p>
    <w:p w:rsidR="000C7F5E" w:rsidRDefault="000C7F5E">
      <w:pPr>
        <w:pStyle w:val="TOCHeading"/>
      </w:pPr>
    </w:p>
    <w:p w:rsidR="000C7F5E" w:rsidRDefault="000C7F5E">
      <w:pPr>
        <w:pStyle w:val="TOCHeading"/>
      </w:pPr>
      <w:r>
        <w:t>Tartalom</w:t>
      </w:r>
    </w:p>
    <w:p w:rsidR="000C7F5E" w:rsidRDefault="000C7F5E">
      <w:pPr>
        <w:pStyle w:val="TOC1"/>
        <w:tabs>
          <w:tab w:val="right" w:leader="dot" w:pos="9062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bookmarkStart w:id="0" w:name="a"/>
      <w:r w:rsidRPr="005C6FFF">
        <w:rPr>
          <w:rStyle w:val="Hyperlink"/>
          <w:noProof/>
        </w:rPr>
        <w:fldChar w:fldCharType="begin"/>
      </w:r>
      <w:r w:rsidRPr="005C6FFF">
        <w:rPr>
          <w:rStyle w:val="Hyperlink"/>
          <w:noProof/>
        </w:rPr>
        <w:instrText xml:space="preserve"> </w:instrText>
      </w:r>
      <w:r>
        <w:rPr>
          <w:noProof/>
        </w:rPr>
        <w:instrText>HYPERLINK \l "_Toc408144457"</w:instrText>
      </w:r>
      <w:r w:rsidRPr="005C6FFF">
        <w:rPr>
          <w:rStyle w:val="Hyperlink"/>
          <w:noProof/>
        </w:rPr>
        <w:instrText xml:space="preserve"> </w:instrText>
      </w:r>
      <w:r w:rsidRPr="000A6A79">
        <w:rPr>
          <w:noProof/>
          <w:color w:val="0000FF"/>
          <w:u w:val="single"/>
        </w:rPr>
      </w:r>
      <w:r w:rsidRPr="005C6FFF">
        <w:rPr>
          <w:rStyle w:val="Hyperlink"/>
          <w:noProof/>
        </w:rPr>
        <w:fldChar w:fldCharType="separate"/>
      </w:r>
      <w:r w:rsidRPr="005C6FFF">
        <w:rPr>
          <w:rStyle w:val="Hyperlink"/>
          <w:i/>
          <w:iCs/>
          <w:noProof/>
          <w:shd w:val="clear" w:color="auto" w:fill="FFFFFF"/>
        </w:rPr>
        <w:t>a) </w:t>
      </w:r>
      <w:r w:rsidRPr="005C6FFF">
        <w:rPr>
          <w:rStyle w:val="Hyperlink"/>
          <w:noProof/>
          <w:shd w:val="clear" w:color="auto" w:fill="FFFFFF"/>
        </w:rPr>
        <w:t>a felvételi lehetőségről szóló tájékoztató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_Toc408144457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</w:t>
      </w:r>
      <w:r>
        <w:rPr>
          <w:noProof/>
          <w:webHidden/>
        </w:rPr>
        <w:fldChar w:fldCharType="end"/>
      </w:r>
      <w:r w:rsidRPr="005C6FFF">
        <w:rPr>
          <w:rStyle w:val="Hyperlink"/>
          <w:noProof/>
        </w:rPr>
        <w:fldChar w:fldCharType="end"/>
      </w:r>
    </w:p>
    <w:bookmarkEnd w:id="0"/>
    <w:p w:rsidR="000C7F5E" w:rsidRDefault="000C7F5E">
      <w:pPr>
        <w:pStyle w:val="TOC1"/>
        <w:tabs>
          <w:tab w:val="right" w:leader="dot" w:pos="9062"/>
        </w:tabs>
        <w:rPr>
          <w:noProof/>
        </w:rPr>
      </w:pPr>
      <w:r w:rsidRPr="005C6FFF">
        <w:rPr>
          <w:rStyle w:val="Hyperlink"/>
          <w:noProof/>
        </w:rPr>
        <w:fldChar w:fldCharType="begin"/>
      </w:r>
      <w:r w:rsidRPr="005C6FFF">
        <w:rPr>
          <w:rStyle w:val="Hyperlink"/>
          <w:noProof/>
        </w:rPr>
        <w:instrText xml:space="preserve"> </w:instrText>
      </w:r>
      <w:r>
        <w:rPr>
          <w:noProof/>
        </w:rPr>
        <w:instrText>HYPERLINK \l "_Toc408144458"</w:instrText>
      </w:r>
      <w:r w:rsidRPr="005C6FFF">
        <w:rPr>
          <w:rStyle w:val="Hyperlink"/>
          <w:noProof/>
        </w:rPr>
        <w:instrText xml:space="preserve"> </w:instrText>
      </w:r>
      <w:r w:rsidRPr="000A6A79">
        <w:rPr>
          <w:noProof/>
          <w:color w:val="0000FF"/>
          <w:u w:val="single"/>
        </w:rPr>
      </w:r>
      <w:r w:rsidRPr="005C6FFF">
        <w:rPr>
          <w:rStyle w:val="Hyperlink"/>
          <w:noProof/>
        </w:rPr>
        <w:fldChar w:fldCharType="separate"/>
      </w:r>
      <w:r w:rsidRPr="005C6FFF">
        <w:rPr>
          <w:rStyle w:val="Hyperlink"/>
          <w:i/>
          <w:iCs/>
          <w:noProof/>
          <w:shd w:val="clear" w:color="auto" w:fill="FFFFFF"/>
        </w:rPr>
        <w:t>b) </w:t>
      </w:r>
      <w:r w:rsidRPr="005C6FFF">
        <w:rPr>
          <w:rStyle w:val="Hyperlink"/>
          <w:noProof/>
          <w:shd w:val="clear" w:color="auto" w:fill="FFFFFF"/>
        </w:rPr>
        <w:t>a beiratkozásra meghatározott idő, a fenntartó által engedélyezett osztályok, csoportok száma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_Toc408144458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  <w:r w:rsidRPr="005C6FFF">
        <w:rPr>
          <w:rStyle w:val="Hyperlink"/>
          <w:noProof/>
        </w:rPr>
        <w:fldChar w:fldCharType="end"/>
      </w:r>
    </w:p>
    <w:p w:rsidR="000C7F5E" w:rsidRDefault="000C7F5E">
      <w:pPr>
        <w:pStyle w:val="TOC1"/>
        <w:tabs>
          <w:tab w:val="right" w:leader="dot" w:pos="9062"/>
        </w:tabs>
        <w:rPr>
          <w:noProof/>
        </w:rPr>
      </w:pPr>
      <w:hyperlink w:anchor="_Toc408144459" w:history="1">
        <w:bookmarkStart w:id="1" w:name="c"/>
        <w:r w:rsidRPr="005C6FFF">
          <w:rPr>
            <w:rStyle w:val="Hyperlink"/>
            <w:i/>
            <w:iCs/>
            <w:noProof/>
            <w:shd w:val="clear" w:color="auto" w:fill="FFFFFF"/>
          </w:rPr>
          <w:t>c) </w:t>
        </w:r>
        <w:r w:rsidRPr="005C6FFF">
          <w:rPr>
            <w:rStyle w:val="Hyperlink"/>
            <w:noProof/>
            <w:shd w:val="clear" w:color="auto" w:fill="FFFFFF"/>
          </w:rPr>
          <w:t>köznevelési feladatot ellátó intézményegységenként a térítési díj, a tandíj, egyéb díjfizetési kötelezettség</w:t>
        </w:r>
        <w:bookmarkEnd w:id="1"/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_Toc408144459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bookmarkStart w:id="2" w:name="d"/>
    <w:p w:rsidR="000C7F5E" w:rsidRDefault="000C7F5E">
      <w:pPr>
        <w:pStyle w:val="TOC1"/>
        <w:tabs>
          <w:tab w:val="right" w:leader="dot" w:pos="9062"/>
        </w:tabs>
        <w:rPr>
          <w:noProof/>
        </w:rPr>
      </w:pPr>
      <w:r w:rsidRPr="005C6FFF">
        <w:rPr>
          <w:rStyle w:val="Hyperlink"/>
          <w:noProof/>
        </w:rPr>
        <w:fldChar w:fldCharType="begin"/>
      </w:r>
      <w:r w:rsidRPr="005C6FFF">
        <w:rPr>
          <w:rStyle w:val="Hyperlink"/>
          <w:noProof/>
        </w:rPr>
        <w:instrText xml:space="preserve"> </w:instrText>
      </w:r>
      <w:r>
        <w:rPr>
          <w:noProof/>
        </w:rPr>
        <w:instrText>HYPERLINK \l "_Toc408144460"</w:instrText>
      </w:r>
      <w:r w:rsidRPr="005C6FFF">
        <w:rPr>
          <w:rStyle w:val="Hyperlink"/>
          <w:noProof/>
        </w:rPr>
        <w:instrText xml:space="preserve"> </w:instrText>
      </w:r>
      <w:r w:rsidRPr="000A6A79">
        <w:rPr>
          <w:noProof/>
          <w:color w:val="0000FF"/>
          <w:u w:val="single"/>
        </w:rPr>
      </w:r>
      <w:r w:rsidRPr="005C6FFF">
        <w:rPr>
          <w:rStyle w:val="Hyperlink"/>
          <w:noProof/>
        </w:rPr>
        <w:fldChar w:fldCharType="separate"/>
      </w:r>
      <w:r w:rsidRPr="005C6FFF">
        <w:rPr>
          <w:rStyle w:val="Hyperlink"/>
          <w:i/>
          <w:iCs/>
          <w:noProof/>
          <w:shd w:val="clear" w:color="auto" w:fill="FFFFFF"/>
        </w:rPr>
        <w:t>d) </w:t>
      </w:r>
      <w:r w:rsidRPr="005C6FFF">
        <w:rPr>
          <w:rStyle w:val="Hyperlink"/>
          <w:noProof/>
          <w:shd w:val="clear" w:color="auto" w:fill="FFFFFF"/>
        </w:rPr>
        <w:t>a fenntartó nevelési-oktatási intézmény munkájával összefüggő értékelésének nyilvános megállapításai és ideje, a köznevelési alapfeladattal kapcsolatos - nyilvános megállapításokat tartalmazó - vizsgálatok, ellenőrzések felsorolása, ideje, az Állami Számvevőszék ellenőrzéseinek nyilvános megállapításai, egyéb ellenőrzések, vizsgálatok nyilvános megállapításai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_Toc408144460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  <w:r w:rsidRPr="005C6FFF">
        <w:rPr>
          <w:rStyle w:val="Hyperlink"/>
          <w:noProof/>
        </w:rPr>
        <w:fldChar w:fldCharType="end"/>
      </w:r>
    </w:p>
    <w:bookmarkEnd w:id="2"/>
    <w:p w:rsidR="000C7F5E" w:rsidRDefault="000C7F5E">
      <w:pPr>
        <w:pStyle w:val="TOC1"/>
        <w:tabs>
          <w:tab w:val="right" w:leader="dot" w:pos="9062"/>
        </w:tabs>
        <w:rPr>
          <w:noProof/>
        </w:rPr>
      </w:pPr>
      <w:r w:rsidRPr="005C6FFF">
        <w:rPr>
          <w:rStyle w:val="Hyperlink"/>
          <w:noProof/>
        </w:rPr>
        <w:fldChar w:fldCharType="begin"/>
      </w:r>
      <w:r w:rsidRPr="005C6FFF">
        <w:rPr>
          <w:rStyle w:val="Hyperlink"/>
          <w:noProof/>
        </w:rPr>
        <w:instrText xml:space="preserve"> </w:instrText>
      </w:r>
      <w:r>
        <w:rPr>
          <w:noProof/>
        </w:rPr>
        <w:instrText>HYPERLINK \l "_Toc408144461"</w:instrText>
      </w:r>
      <w:r w:rsidRPr="005C6FFF">
        <w:rPr>
          <w:rStyle w:val="Hyperlink"/>
          <w:noProof/>
        </w:rPr>
        <w:instrText xml:space="preserve"> </w:instrText>
      </w:r>
      <w:r w:rsidRPr="000A6A79">
        <w:rPr>
          <w:noProof/>
          <w:color w:val="0000FF"/>
          <w:u w:val="single"/>
        </w:rPr>
      </w:r>
      <w:r w:rsidRPr="005C6FFF">
        <w:rPr>
          <w:rStyle w:val="Hyperlink"/>
          <w:noProof/>
        </w:rPr>
        <w:fldChar w:fldCharType="separate"/>
      </w:r>
      <w:bookmarkStart w:id="3" w:name="e"/>
      <w:r w:rsidRPr="005C6FFF">
        <w:rPr>
          <w:rStyle w:val="Hyperlink"/>
          <w:i/>
          <w:iCs/>
          <w:noProof/>
          <w:shd w:val="clear" w:color="auto" w:fill="FFFFFF"/>
        </w:rPr>
        <w:t>e) </w:t>
      </w:r>
      <w:r w:rsidRPr="005C6FFF">
        <w:rPr>
          <w:rStyle w:val="Hyperlink"/>
          <w:noProof/>
          <w:shd w:val="clear" w:color="auto" w:fill="FFFFFF"/>
        </w:rPr>
        <w:t>a nevelési-oktatási intézmény nyitva tartásának rendje, éves munkaterv alapján a nevelési évben, tanévben tervezett jelentősebb rendezvények, események időpontjai: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_Toc408144461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  <w:bookmarkEnd w:id="3"/>
      <w:r w:rsidRPr="005C6FFF">
        <w:rPr>
          <w:rStyle w:val="Hyperlink"/>
          <w:noProof/>
        </w:rPr>
        <w:fldChar w:fldCharType="end"/>
      </w:r>
    </w:p>
    <w:bookmarkStart w:id="4" w:name="f"/>
    <w:p w:rsidR="000C7F5E" w:rsidRDefault="000C7F5E">
      <w:pPr>
        <w:pStyle w:val="TOC1"/>
        <w:tabs>
          <w:tab w:val="right" w:leader="dot" w:pos="9062"/>
        </w:tabs>
        <w:rPr>
          <w:noProof/>
        </w:rPr>
      </w:pPr>
      <w:r w:rsidRPr="005C6FFF">
        <w:rPr>
          <w:rStyle w:val="Hyperlink"/>
          <w:noProof/>
        </w:rPr>
        <w:fldChar w:fldCharType="begin"/>
      </w:r>
      <w:r w:rsidRPr="005C6FFF">
        <w:rPr>
          <w:rStyle w:val="Hyperlink"/>
          <w:noProof/>
        </w:rPr>
        <w:instrText xml:space="preserve"> </w:instrText>
      </w:r>
      <w:r>
        <w:rPr>
          <w:noProof/>
        </w:rPr>
        <w:instrText>HYPERLINK \l "_Toc408144462"</w:instrText>
      </w:r>
      <w:r w:rsidRPr="005C6FFF">
        <w:rPr>
          <w:rStyle w:val="Hyperlink"/>
          <w:noProof/>
        </w:rPr>
        <w:instrText xml:space="preserve"> </w:instrText>
      </w:r>
      <w:r w:rsidRPr="000A6A79">
        <w:rPr>
          <w:noProof/>
          <w:color w:val="0000FF"/>
          <w:u w:val="single"/>
        </w:rPr>
      </w:r>
      <w:r w:rsidRPr="005C6FFF">
        <w:rPr>
          <w:rStyle w:val="Hyperlink"/>
          <w:noProof/>
        </w:rPr>
        <w:fldChar w:fldCharType="separate"/>
      </w:r>
      <w:r w:rsidRPr="005C6FFF">
        <w:rPr>
          <w:rStyle w:val="Hyperlink"/>
          <w:i/>
          <w:iCs/>
          <w:noProof/>
          <w:shd w:val="clear" w:color="auto" w:fill="FFFFFF"/>
        </w:rPr>
        <w:t>f) </w:t>
      </w:r>
      <w:r w:rsidRPr="005C6FFF">
        <w:rPr>
          <w:rStyle w:val="Hyperlink"/>
          <w:noProof/>
          <w:shd w:val="clear" w:color="auto" w:fill="FFFFFF"/>
        </w:rPr>
        <w:t>a pedagógiai-szakmai ellenőrzés megállapításait a személyes adatok védelmére vonatkozó jogszabályok megtartásával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_Toc408144462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  <w:r w:rsidRPr="005C6FFF">
        <w:rPr>
          <w:rStyle w:val="Hyperlink"/>
          <w:noProof/>
        </w:rPr>
        <w:fldChar w:fldCharType="end"/>
      </w:r>
    </w:p>
    <w:bookmarkStart w:id="5" w:name="g"/>
    <w:bookmarkEnd w:id="4"/>
    <w:p w:rsidR="000C7F5E" w:rsidRDefault="000C7F5E">
      <w:pPr>
        <w:pStyle w:val="TOC1"/>
        <w:tabs>
          <w:tab w:val="right" w:leader="dot" w:pos="9062"/>
        </w:tabs>
        <w:rPr>
          <w:noProof/>
        </w:rPr>
      </w:pPr>
      <w:r w:rsidRPr="005C6FFF">
        <w:rPr>
          <w:rStyle w:val="Hyperlink"/>
          <w:noProof/>
        </w:rPr>
        <w:fldChar w:fldCharType="begin"/>
      </w:r>
      <w:r w:rsidRPr="005C6FFF">
        <w:rPr>
          <w:rStyle w:val="Hyperlink"/>
          <w:noProof/>
        </w:rPr>
        <w:instrText xml:space="preserve"> </w:instrText>
      </w:r>
      <w:r>
        <w:rPr>
          <w:noProof/>
        </w:rPr>
        <w:instrText>HYPERLINK \l "_Toc408144463"</w:instrText>
      </w:r>
      <w:r w:rsidRPr="005C6FFF">
        <w:rPr>
          <w:rStyle w:val="Hyperlink"/>
          <w:noProof/>
        </w:rPr>
        <w:instrText xml:space="preserve"> </w:instrText>
      </w:r>
      <w:r w:rsidRPr="000A6A79">
        <w:rPr>
          <w:noProof/>
          <w:color w:val="0000FF"/>
          <w:u w:val="single"/>
        </w:rPr>
      </w:r>
      <w:r w:rsidRPr="005C6FFF">
        <w:rPr>
          <w:rStyle w:val="Hyperlink"/>
          <w:noProof/>
        </w:rPr>
        <w:fldChar w:fldCharType="separate"/>
      </w:r>
      <w:r w:rsidRPr="005C6FFF">
        <w:rPr>
          <w:rStyle w:val="Hyperlink"/>
          <w:i/>
          <w:iCs/>
          <w:noProof/>
          <w:shd w:val="clear" w:color="auto" w:fill="FFFFFF"/>
        </w:rPr>
        <w:t>g) </w:t>
      </w:r>
      <w:r w:rsidRPr="005C6FFF">
        <w:rPr>
          <w:rStyle w:val="Hyperlink"/>
          <w:noProof/>
          <w:shd w:val="clear" w:color="auto" w:fill="FFFFFF"/>
        </w:rPr>
        <w:t>a szervezeti és működési szabályzat, a házirend és a pedagógiai program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_Toc408144463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  <w:r w:rsidRPr="005C6FFF">
        <w:rPr>
          <w:rStyle w:val="Hyperlink"/>
          <w:noProof/>
        </w:rPr>
        <w:fldChar w:fldCharType="end"/>
      </w:r>
    </w:p>
    <w:bookmarkEnd w:id="5"/>
    <w:p w:rsidR="000C7F5E" w:rsidRDefault="000C7F5E">
      <w:r>
        <w:fldChar w:fldCharType="end"/>
      </w:r>
    </w:p>
    <w:p w:rsidR="000C7F5E" w:rsidRDefault="000C7F5E" w:rsidP="00B159D4">
      <w:pPr>
        <w:pStyle w:val="Norma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Calibri" w:hAnsi="Calibri" w:cs="Calibri"/>
          <w:b/>
          <w:bCs/>
          <w:color w:val="222222"/>
        </w:rPr>
      </w:pPr>
    </w:p>
    <w:p w:rsidR="000C7F5E" w:rsidRDefault="000C7F5E">
      <w:pPr>
        <w:rPr>
          <w:rFonts w:cs="Calibri"/>
          <w:b/>
          <w:bCs/>
          <w:color w:val="222222"/>
          <w:sz w:val="24"/>
          <w:szCs w:val="24"/>
          <w:lang w:eastAsia="hu-HU"/>
        </w:rPr>
      </w:pPr>
      <w:r>
        <w:rPr>
          <w:rFonts w:cs="Calibri"/>
          <w:b/>
          <w:bCs/>
          <w:color w:val="222222"/>
        </w:rPr>
        <w:br w:type="page"/>
      </w:r>
    </w:p>
    <w:p w:rsidR="000C7F5E" w:rsidRPr="00855CAE" w:rsidRDefault="000C7F5E" w:rsidP="00B159D4">
      <w:pPr>
        <w:pStyle w:val="Norma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Calibri" w:hAnsi="Calibri" w:cs="Calibri"/>
          <w:color w:val="222222"/>
        </w:rPr>
      </w:pPr>
      <w:r w:rsidRPr="00855CAE">
        <w:rPr>
          <w:rFonts w:ascii="Calibri" w:hAnsi="Calibri" w:cs="Calibri"/>
          <w:b/>
          <w:bCs/>
          <w:color w:val="222222"/>
        </w:rPr>
        <w:t>229/2012. (VIII. 28.) Korm. rendelet</w:t>
      </w:r>
    </w:p>
    <w:p w:rsidR="000C7F5E" w:rsidRPr="00855CAE" w:rsidRDefault="000C7F5E" w:rsidP="00B159D4">
      <w:pPr>
        <w:pStyle w:val="Norma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Calibri" w:hAnsi="Calibri" w:cs="Calibri"/>
          <w:color w:val="222222"/>
        </w:rPr>
      </w:pPr>
      <w:bookmarkStart w:id="6" w:name="14a9a08792e95562_pr2"/>
      <w:bookmarkEnd w:id="6"/>
      <w:r w:rsidRPr="00855CAE">
        <w:rPr>
          <w:rFonts w:ascii="Calibri" w:hAnsi="Calibri" w:cs="Calibri"/>
          <w:b/>
          <w:bCs/>
          <w:color w:val="222222"/>
        </w:rPr>
        <w:t>a nemzeti köznevelésről szóló törvény végrehajtásáról</w:t>
      </w:r>
    </w:p>
    <w:p w:rsidR="000C7F5E" w:rsidRPr="00855CAE" w:rsidRDefault="000C7F5E" w:rsidP="00B159D4">
      <w:pPr>
        <w:pStyle w:val="NormalWeb"/>
        <w:shd w:val="clear" w:color="auto" w:fill="FFFFFF"/>
        <w:spacing w:before="300" w:beforeAutospacing="0" w:after="300" w:afterAutospacing="0"/>
        <w:ind w:right="150"/>
        <w:jc w:val="center"/>
        <w:rPr>
          <w:rFonts w:ascii="Calibri" w:hAnsi="Calibri" w:cs="Calibri"/>
          <w:color w:val="222222"/>
          <w:sz w:val="20"/>
          <w:szCs w:val="20"/>
        </w:rPr>
      </w:pPr>
      <w:smartTag w:uri="urn:schemas-microsoft-com:office:smarttags" w:element="metricconverter">
        <w:smartTagPr>
          <w:attr w:name="ProductID" w:val="10. A"/>
        </w:smartTagPr>
        <w:r w:rsidRPr="00855CAE">
          <w:rPr>
            <w:rFonts w:ascii="Calibri" w:hAnsi="Calibri" w:cs="Calibri"/>
            <w:bCs/>
            <w:color w:val="222222"/>
            <w:sz w:val="20"/>
            <w:szCs w:val="20"/>
          </w:rPr>
          <w:t>10. A</w:t>
        </w:r>
      </w:smartTag>
      <w:r w:rsidRPr="00855CAE">
        <w:rPr>
          <w:rFonts w:ascii="Calibri" w:hAnsi="Calibri" w:cs="Calibri"/>
          <w:bCs/>
          <w:color w:val="222222"/>
          <w:sz w:val="20"/>
          <w:szCs w:val="20"/>
        </w:rPr>
        <w:t xml:space="preserve"> tájékoztató rendszer és a köznevelési intézmények közzétételi listája</w:t>
      </w:r>
    </w:p>
    <w:p w:rsidR="000C7F5E" w:rsidRPr="00855CAE" w:rsidRDefault="000C7F5E">
      <w:pPr>
        <w:rPr>
          <w:rFonts w:cs="Calibri"/>
        </w:rPr>
      </w:pPr>
      <w:r w:rsidRPr="00855CAE">
        <w:rPr>
          <w:rFonts w:cs="Calibri"/>
        </w:rPr>
        <w:t>23. § (1)</w:t>
      </w:r>
    </w:p>
    <w:p w:rsidR="000C7F5E" w:rsidRDefault="000C7F5E" w:rsidP="00A7434E">
      <w:pPr>
        <w:pStyle w:val="Heading1"/>
        <w:rPr>
          <w:shd w:val="clear" w:color="auto" w:fill="FFFFFF"/>
        </w:rPr>
      </w:pPr>
      <w:bookmarkStart w:id="7" w:name="_Toc408144457"/>
      <w:r>
        <w:rPr>
          <w:i/>
          <w:iCs/>
          <w:shd w:val="clear" w:color="auto" w:fill="FFFFFF"/>
        </w:rPr>
        <w:t>a) </w:t>
      </w:r>
      <w:r>
        <w:rPr>
          <w:shd w:val="clear" w:color="auto" w:fill="FFFFFF"/>
        </w:rPr>
        <w:t>a felvételi lehetőségről szóló tájékoztató</w:t>
      </w:r>
      <w:bookmarkEnd w:id="7"/>
    </w:p>
    <w:p w:rsidR="000C7F5E" w:rsidRDefault="000C7F5E" w:rsidP="00794966">
      <w:pPr>
        <w:spacing w:before="100" w:beforeAutospacing="1" w:after="100" w:afterAutospacing="1"/>
      </w:pPr>
      <w:r>
        <w:rPr>
          <w:b/>
          <w:sz w:val="32"/>
          <w:szCs w:val="32"/>
        </w:rPr>
        <w:t>Szakiskolai képzéseink</w:t>
      </w:r>
      <w:r>
        <w:rPr>
          <w:b/>
        </w:rPr>
        <w:t xml:space="preserve"> ( 3 éves, nappali rendszerû, 8 általánosra épülõ )</w:t>
      </w:r>
    </w:p>
    <w:p w:rsidR="000C7F5E" w:rsidRDefault="000C7F5E" w:rsidP="00794966">
      <w:pPr>
        <w:spacing w:before="100" w:beforeAutospacing="1" w:after="100" w:afterAutospacing="1"/>
        <w:jc w:val="both"/>
      </w:pPr>
      <w:r>
        <w:rPr>
          <w:b/>
          <w:u w:val="single"/>
        </w:rPr>
        <w:t>Karosszérialakatos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kód:</w:t>
      </w:r>
      <w:r>
        <w:rPr>
          <w:b/>
          <w:u w:val="single"/>
        </w:rPr>
        <w:tab/>
        <w:t>20</w:t>
      </w:r>
    </w:p>
    <w:p w:rsidR="000C7F5E" w:rsidRDefault="000C7F5E" w:rsidP="00794966">
      <w:pPr>
        <w:spacing w:before="100" w:beforeAutospacing="1" w:after="100" w:afterAutospacing="1"/>
        <w:jc w:val="both"/>
      </w:pPr>
      <w:r>
        <w:rPr>
          <w:b/>
        </w:rPr>
        <w:t>OKJ 34 525 06</w:t>
      </w:r>
    </w:p>
    <w:p w:rsidR="000C7F5E" w:rsidRDefault="000C7F5E" w:rsidP="00794966">
      <w:pPr>
        <w:autoSpaceDE w:val="0"/>
        <w:autoSpaceDN w:val="0"/>
        <w:adjustRightInd w:val="0"/>
        <w:ind w:left="900" w:hanging="540"/>
        <w:jc w:val="both"/>
      </w:pPr>
      <w:r>
        <w:rPr>
          <w:sz w:val="20"/>
          <w:szCs w:val="20"/>
        </w:rPr>
        <w:t>3.2.</w:t>
      </w:r>
      <w:r>
        <w:rPr>
          <w:sz w:val="20"/>
          <w:szCs w:val="20"/>
        </w:rPr>
        <w:tab/>
        <w:t>A szakképesítés munkaterületének rövid leírása:</w:t>
      </w:r>
    </w:p>
    <w:p w:rsidR="000C7F5E" w:rsidRDefault="000C7F5E" w:rsidP="00794966">
      <w:pPr>
        <w:autoSpaceDE w:val="0"/>
        <w:autoSpaceDN w:val="0"/>
        <w:adjustRightInd w:val="0"/>
        <w:spacing w:before="100" w:beforeAutospacing="1"/>
        <w:jc w:val="both"/>
      </w:pPr>
      <w:r>
        <w:rPr>
          <w:b/>
          <w:sz w:val="20"/>
          <w:szCs w:val="20"/>
        </w:rPr>
        <w:t>A karosszérialakatos szakember</w:t>
      </w:r>
      <w:r>
        <w:rPr>
          <w:sz w:val="20"/>
          <w:szCs w:val="20"/>
        </w:rPr>
        <w:t xml:space="preserve"> gépjármûvek karambolos és korrodált karosszériáinak javítását, gyári értékekre történõ beállítását, új karosszériaelemek felszerelését, javításhoz karosszériaelemek készítését, javított részek felületkezelésre történõ elõkészítését végzi húzató-padok, egyengetõ rendszerek alkalmazásával, kéziszerszámok, elektromos és pneumatikus kézi kisgépek, hegesztõ berendezések használatával.</w:t>
      </w:r>
    </w:p>
    <w:p w:rsidR="000C7F5E" w:rsidRDefault="000C7F5E" w:rsidP="00794966">
      <w:pPr>
        <w:spacing w:before="100" w:beforeAutospacing="1" w:after="100" w:afterAutospacing="1"/>
        <w:jc w:val="both"/>
      </w:pPr>
      <w:r>
        <w:rPr>
          <w:b/>
          <w:u w:val="single"/>
        </w:rPr>
        <w:t>Jármûkarosszéria készítõ, szerelõ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kód:</w:t>
      </w:r>
      <w:r>
        <w:rPr>
          <w:b/>
          <w:u w:val="single"/>
        </w:rPr>
        <w:tab/>
        <w:t>31</w:t>
      </w:r>
    </w:p>
    <w:p w:rsidR="000C7F5E" w:rsidRDefault="000C7F5E" w:rsidP="00794966">
      <w:pPr>
        <w:spacing w:before="100" w:beforeAutospacing="1" w:after="100" w:afterAutospacing="1"/>
        <w:jc w:val="both"/>
      </w:pPr>
      <w:r>
        <w:rPr>
          <w:b/>
        </w:rPr>
        <w:t>OKJ 34525 05</w:t>
      </w:r>
    </w:p>
    <w:p w:rsidR="000C7F5E" w:rsidRDefault="000C7F5E" w:rsidP="00794966">
      <w:pPr>
        <w:autoSpaceDE w:val="0"/>
        <w:autoSpaceDN w:val="0"/>
        <w:adjustRightInd w:val="0"/>
        <w:ind w:left="720" w:hanging="436"/>
        <w:jc w:val="both"/>
      </w:pPr>
      <w:r>
        <w:rPr>
          <w:sz w:val="20"/>
          <w:szCs w:val="20"/>
        </w:rPr>
        <w:t>3.2.</w:t>
      </w:r>
      <w:r>
        <w:rPr>
          <w:sz w:val="20"/>
          <w:szCs w:val="20"/>
        </w:rPr>
        <w:tab/>
        <w:t>A szakképesítés munkaterületének rövid leírása:</w:t>
      </w:r>
    </w:p>
    <w:p w:rsidR="000C7F5E" w:rsidRDefault="000C7F5E" w:rsidP="00794966">
      <w:pPr>
        <w:autoSpaceDE w:val="0"/>
        <w:autoSpaceDN w:val="0"/>
        <w:adjustRightInd w:val="0"/>
        <w:spacing w:before="100" w:beforeAutospacing="1"/>
        <w:jc w:val="both"/>
      </w:pPr>
      <w:r>
        <w:rPr>
          <w:b/>
          <w:sz w:val="20"/>
          <w:szCs w:val="20"/>
        </w:rPr>
        <w:t>A jármûkarosszéria készítõ, szerelõ</w:t>
      </w:r>
      <w:r>
        <w:rPr>
          <w:sz w:val="20"/>
          <w:szCs w:val="20"/>
        </w:rPr>
        <w:t xml:space="preserve"> feladata gépjármûvek karosszériáinak gyártósoron történõ összeszerelése ipari szerelési technológiák, présgépek, hegesztõ robotok alkalmazásával, a gyártósori folyamatok ellenõrzése, a minõség és a munkabiztonság folyamatos biztosítása mellett.</w:t>
      </w:r>
    </w:p>
    <w:p w:rsidR="000C7F5E" w:rsidRDefault="000C7F5E" w:rsidP="00794966">
      <w:pPr>
        <w:spacing w:before="100" w:beforeAutospacing="1" w:after="100" w:afterAutospacing="1"/>
        <w:jc w:val="both"/>
      </w:pPr>
      <w:r>
        <w:rPr>
          <w:b/>
          <w:u w:val="single"/>
        </w:rPr>
        <w:t>Jármûfényezõ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kód:</w:t>
      </w:r>
      <w:r>
        <w:rPr>
          <w:b/>
          <w:u w:val="single"/>
        </w:rPr>
        <w:tab/>
        <w:t>21</w:t>
      </w:r>
    </w:p>
    <w:p w:rsidR="000C7F5E" w:rsidRDefault="000C7F5E" w:rsidP="00794966">
      <w:pPr>
        <w:spacing w:before="100" w:beforeAutospacing="1" w:after="100" w:afterAutospacing="1"/>
        <w:jc w:val="both"/>
      </w:pPr>
      <w:r>
        <w:rPr>
          <w:b/>
        </w:rPr>
        <w:t>OKJ 34 525 03</w:t>
      </w:r>
    </w:p>
    <w:p w:rsidR="000C7F5E" w:rsidRDefault="000C7F5E" w:rsidP="00794966">
      <w:pPr>
        <w:autoSpaceDE w:val="0"/>
        <w:autoSpaceDN w:val="0"/>
        <w:adjustRightInd w:val="0"/>
        <w:ind w:left="644" w:hanging="360"/>
        <w:jc w:val="both"/>
      </w:pPr>
      <w:r>
        <w:rPr>
          <w:sz w:val="20"/>
          <w:szCs w:val="20"/>
        </w:rPr>
        <w:t>3.2.</w:t>
      </w:r>
      <w:r>
        <w:rPr>
          <w:sz w:val="20"/>
          <w:szCs w:val="20"/>
        </w:rPr>
        <w:tab/>
        <w:t>A szakképesítés munkaterületének rövid leírása:</w:t>
      </w:r>
    </w:p>
    <w:p w:rsidR="000C7F5E" w:rsidRDefault="000C7F5E" w:rsidP="00794966">
      <w:pPr>
        <w:spacing w:before="100" w:beforeAutospacing="1" w:after="100" w:afterAutospacing="1"/>
        <w:jc w:val="both"/>
      </w:pPr>
      <w:r>
        <w:rPr>
          <w:b/>
          <w:sz w:val="20"/>
          <w:szCs w:val="20"/>
        </w:rPr>
        <w:t>A jármûfényezõ szakember</w:t>
      </w:r>
      <w:r>
        <w:rPr>
          <w:sz w:val="20"/>
          <w:szCs w:val="20"/>
        </w:rPr>
        <w:t xml:space="preserve"> feladata gépjármûvek karosszériáinak javító és felújító jellegû felületkezelése, fényezése. Tevékenységét a kézi és gépi fényezési technológiák alkalmazásával önállóan, a jármûkarosszéria felületkezelési elõírásai szerint végzi. Tevékenységével a fényezési folyamat alkalmazásán keresztül részt vesz a technológiai folyamatok, a minõség és a munkabiztonság betartásában</w:t>
      </w:r>
    </w:p>
    <w:p w:rsidR="000C7F5E" w:rsidRDefault="000C7F5E" w:rsidP="00794966">
      <w:pPr>
        <w:spacing w:before="100" w:beforeAutospacing="1" w:after="100" w:afterAutospacing="1"/>
        <w:jc w:val="both"/>
      </w:pPr>
      <w:r>
        <w:rPr>
          <w:b/>
          <w:u w:val="single"/>
        </w:rPr>
        <w:t>Jármûkarosszéria elõkészítõ, felületbevonó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kód:</w:t>
      </w:r>
      <w:r>
        <w:rPr>
          <w:b/>
          <w:u w:val="single"/>
        </w:rPr>
        <w:tab/>
        <w:t>32</w:t>
      </w:r>
    </w:p>
    <w:p w:rsidR="000C7F5E" w:rsidRDefault="000C7F5E" w:rsidP="00794966">
      <w:pPr>
        <w:spacing w:before="100" w:beforeAutospacing="1" w:after="100" w:afterAutospacing="1"/>
        <w:jc w:val="both"/>
      </w:pPr>
      <w:r>
        <w:rPr>
          <w:b/>
        </w:rPr>
        <w:t>OKJ 34 525 04</w:t>
      </w:r>
    </w:p>
    <w:p w:rsidR="000C7F5E" w:rsidRDefault="000C7F5E" w:rsidP="00794966">
      <w:pPr>
        <w:autoSpaceDE w:val="0"/>
        <w:autoSpaceDN w:val="0"/>
        <w:adjustRightInd w:val="0"/>
        <w:ind w:left="720" w:hanging="436"/>
        <w:jc w:val="both"/>
      </w:pPr>
      <w:r>
        <w:rPr>
          <w:sz w:val="20"/>
          <w:szCs w:val="20"/>
        </w:rPr>
        <w:t>3.2.</w:t>
      </w:r>
      <w:r>
        <w:rPr>
          <w:sz w:val="20"/>
          <w:szCs w:val="20"/>
        </w:rPr>
        <w:tab/>
        <w:t>A szakképesítés munkaterületének rövid leírása:</w:t>
      </w:r>
    </w:p>
    <w:p w:rsidR="000C7F5E" w:rsidRDefault="000C7F5E" w:rsidP="00794966">
      <w:pPr>
        <w:autoSpaceDE w:val="0"/>
        <w:autoSpaceDN w:val="0"/>
        <w:adjustRightInd w:val="0"/>
        <w:spacing w:before="100" w:beforeAutospacing="1"/>
        <w:ind w:firstLine="142"/>
        <w:jc w:val="both"/>
      </w:pPr>
      <w:r>
        <w:rPr>
          <w:b/>
          <w:sz w:val="20"/>
          <w:szCs w:val="20"/>
        </w:rPr>
        <w:t xml:space="preserve">A járműkarosszéria előkészítő, felületbevonó </w:t>
      </w:r>
      <w:r>
        <w:rPr>
          <w:sz w:val="20"/>
          <w:szCs w:val="20"/>
        </w:rPr>
        <w:t>feladata gépjárművek karosszériáinak felületkezelése, ipari rendszerű fényezése. Tevékenységét az ipari fényezési technológiák alkalmazásával önállóan, a járműkarosszéria felületkezelési előírásai szerint végzi. Közvetlenül részt vesz a felületkezelési folyamat alkalmazásán keresztül a minőségre vonatkozó szabványok betartásában és a technológiai folyamatok, a minőségbiztosítás, a munkabiztonság és a környezetvédelem folyamatos korszerűsítési tevékenységeiben.</w:t>
      </w:r>
    </w:p>
    <w:p w:rsidR="000C7F5E" w:rsidRDefault="000C7F5E" w:rsidP="00794966">
      <w:pPr>
        <w:spacing w:before="100" w:beforeAutospacing="1" w:after="100" w:afterAutospacing="1"/>
        <w:jc w:val="both"/>
      </w:pPr>
      <w:r>
        <w:rPr>
          <w:b/>
          <w:u w:val="single"/>
        </w:rPr>
        <w:t>Gépjármű mechatronikus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kód:</w:t>
      </w:r>
      <w:r>
        <w:rPr>
          <w:b/>
          <w:u w:val="single"/>
        </w:rPr>
        <w:tab/>
        <w:t>22</w:t>
      </w:r>
    </w:p>
    <w:p w:rsidR="000C7F5E" w:rsidRDefault="000C7F5E" w:rsidP="00794966">
      <w:pPr>
        <w:spacing w:before="100" w:beforeAutospacing="1" w:after="100" w:afterAutospacing="1"/>
        <w:jc w:val="both"/>
      </w:pPr>
      <w:r>
        <w:rPr>
          <w:b/>
        </w:rPr>
        <w:t>OKJ 34 525 02</w:t>
      </w:r>
    </w:p>
    <w:p w:rsidR="000C7F5E" w:rsidRDefault="000C7F5E" w:rsidP="00794966">
      <w:pPr>
        <w:tabs>
          <w:tab w:val="left" w:pos="284"/>
        </w:tabs>
        <w:autoSpaceDE w:val="0"/>
        <w:autoSpaceDN w:val="0"/>
        <w:adjustRightInd w:val="0"/>
        <w:ind w:left="709" w:hanging="425"/>
        <w:jc w:val="both"/>
      </w:pPr>
      <w:r>
        <w:rPr>
          <w:sz w:val="20"/>
          <w:szCs w:val="20"/>
        </w:rPr>
        <w:t>3.2.</w:t>
      </w:r>
      <w:r>
        <w:rPr>
          <w:sz w:val="20"/>
          <w:szCs w:val="20"/>
        </w:rPr>
        <w:tab/>
        <w:t>A szakképesítés munkaterületének rövid leírása:</w:t>
      </w:r>
    </w:p>
    <w:p w:rsidR="000C7F5E" w:rsidRDefault="000C7F5E" w:rsidP="00794966">
      <w:pPr>
        <w:autoSpaceDE w:val="0"/>
        <w:autoSpaceDN w:val="0"/>
        <w:adjustRightInd w:val="0"/>
        <w:spacing w:before="100" w:beforeAutospacing="1"/>
        <w:ind w:firstLine="180"/>
        <w:jc w:val="both"/>
      </w:pPr>
      <w:r>
        <w:rPr>
          <w:b/>
          <w:sz w:val="20"/>
          <w:szCs w:val="20"/>
        </w:rPr>
        <w:t>A gépjármű mechatronikus</w:t>
      </w:r>
      <w:r>
        <w:rPr>
          <w:sz w:val="20"/>
          <w:szCs w:val="20"/>
        </w:rPr>
        <w:t xml:space="preserve"> a gépjárművek sorozatgyártásában a gyártósorról lekerülő új autó műszaki átvételénél végzi feladatait. Munkája során a gépjármű mechanikus és elektronikus rendszereinek minőségét ellenőrzi, kiszűri és megjavítja, vagy megjavíttatja az előforduló hibákat, előkészíti a gépjárművet értékesítésre.</w:t>
      </w:r>
    </w:p>
    <w:p w:rsidR="000C7F5E" w:rsidRDefault="000C7F5E" w:rsidP="00562001">
      <w:pPr>
        <w:spacing w:before="100" w:beforeAutospacing="1" w:after="100" w:afterAutospacing="1"/>
      </w:pPr>
    </w:p>
    <w:p w:rsidR="000C7F5E" w:rsidRDefault="000C7F5E" w:rsidP="00794966">
      <w:pPr>
        <w:spacing w:before="100" w:beforeAutospacing="1" w:after="100" w:afterAutospacing="1"/>
        <w:jc w:val="both"/>
      </w:pPr>
      <w:r>
        <w:rPr>
          <w:b/>
          <w:u w:val="single"/>
        </w:rPr>
        <w:t>Gépjárműépítő, szerelő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kód:</w:t>
      </w:r>
      <w:r>
        <w:rPr>
          <w:b/>
          <w:u w:val="single"/>
        </w:rPr>
        <w:tab/>
        <w:t>33</w:t>
      </w:r>
    </w:p>
    <w:p w:rsidR="000C7F5E" w:rsidRDefault="000C7F5E" w:rsidP="00794966">
      <w:pPr>
        <w:spacing w:before="100" w:beforeAutospacing="1" w:after="100" w:afterAutospacing="1"/>
        <w:jc w:val="both"/>
      </w:pPr>
      <w:r>
        <w:rPr>
          <w:b/>
        </w:rPr>
        <w:t>OKJ 34 525 01</w:t>
      </w:r>
    </w:p>
    <w:p w:rsidR="000C7F5E" w:rsidRDefault="000C7F5E" w:rsidP="00794966">
      <w:pPr>
        <w:autoSpaceDE w:val="0"/>
        <w:autoSpaceDN w:val="0"/>
        <w:adjustRightInd w:val="0"/>
        <w:ind w:left="720" w:hanging="436"/>
        <w:jc w:val="both"/>
      </w:pPr>
      <w:r>
        <w:rPr>
          <w:sz w:val="20"/>
          <w:szCs w:val="20"/>
        </w:rPr>
        <w:t>3.2.</w:t>
      </w:r>
      <w:r>
        <w:rPr>
          <w:sz w:val="20"/>
          <w:szCs w:val="20"/>
        </w:rPr>
        <w:tab/>
        <w:t>A szakképesítés munkaterületének rövid leírása:</w:t>
      </w:r>
    </w:p>
    <w:p w:rsidR="000C7F5E" w:rsidRDefault="000C7F5E" w:rsidP="00794966">
      <w:pPr>
        <w:autoSpaceDE w:val="0"/>
        <w:autoSpaceDN w:val="0"/>
        <w:adjustRightInd w:val="0"/>
        <w:ind w:left="204"/>
        <w:jc w:val="both"/>
      </w:pPr>
      <w:r>
        <w:rPr>
          <w:b/>
          <w:sz w:val="20"/>
          <w:szCs w:val="20"/>
        </w:rPr>
        <w:t>A gépjárműépítő, szerelő</w:t>
      </w:r>
      <w:r>
        <w:rPr>
          <w:sz w:val="20"/>
          <w:szCs w:val="20"/>
        </w:rPr>
        <w:t xml:space="preserve"> gépjárműveket, motorokat, gépjármű elemeket, részegységeket állít elő folyamatos gyártósoron. Gépjármű felépítmények részegységeinek összeépítését végzi.</w:t>
      </w:r>
    </w:p>
    <w:p w:rsidR="000C7F5E" w:rsidRDefault="000C7F5E" w:rsidP="00794966">
      <w:pPr>
        <w:autoSpaceDE w:val="0"/>
        <w:autoSpaceDN w:val="0"/>
        <w:adjustRightInd w:val="0"/>
        <w:ind w:left="204"/>
        <w:jc w:val="both"/>
      </w:pPr>
      <w:r>
        <w:rPr>
          <w:sz w:val="20"/>
          <w:szCs w:val="20"/>
        </w:rPr>
        <w:t>Munkájával kapcsolatosan ellenőriz, karbantart, dokumentál, és anyagmozgatást végez.</w:t>
      </w:r>
    </w:p>
    <w:p w:rsidR="000C7F5E" w:rsidRDefault="000C7F5E" w:rsidP="00794966">
      <w:pPr>
        <w:autoSpaceDE w:val="0"/>
        <w:autoSpaceDN w:val="0"/>
        <w:adjustRightInd w:val="0"/>
        <w:ind w:left="204"/>
        <w:jc w:val="both"/>
      </w:pPr>
      <w:r>
        <w:rPr>
          <w:sz w:val="20"/>
          <w:szCs w:val="20"/>
        </w:rPr>
        <w:t>Tevékenységét egyénileg vagy szerelőcsoportokban gyártási folyamatok keretén belül végzi.</w:t>
      </w:r>
    </w:p>
    <w:p w:rsidR="000C7F5E" w:rsidRDefault="000C7F5E" w:rsidP="00794966">
      <w:pPr>
        <w:spacing w:before="100" w:beforeAutospacing="1" w:after="100" w:afterAutospacing="1"/>
        <w:jc w:val="both"/>
      </w:pPr>
      <w:r>
        <w:rPr>
          <w:b/>
          <w:u w:val="single"/>
        </w:rPr>
        <w:t>Hegesztõ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kód:</w:t>
      </w:r>
      <w:r>
        <w:rPr>
          <w:b/>
          <w:u w:val="single"/>
        </w:rPr>
        <w:tab/>
        <w:t>24</w:t>
      </w:r>
    </w:p>
    <w:p w:rsidR="000C7F5E" w:rsidRDefault="000C7F5E" w:rsidP="00794966">
      <w:pPr>
        <w:spacing w:before="100" w:beforeAutospacing="1" w:after="100" w:afterAutospacing="1"/>
        <w:jc w:val="both"/>
      </w:pPr>
      <w:r>
        <w:rPr>
          <w:b/>
        </w:rPr>
        <w:t>OKJ 34 521 06</w:t>
      </w:r>
    </w:p>
    <w:p w:rsidR="000C7F5E" w:rsidRDefault="000C7F5E" w:rsidP="00794966">
      <w:pPr>
        <w:widowControl w:val="0"/>
        <w:autoSpaceDE w:val="0"/>
        <w:autoSpaceDN w:val="0"/>
        <w:adjustRightInd w:val="0"/>
        <w:spacing w:before="100" w:beforeAutospacing="1"/>
        <w:jc w:val="both"/>
      </w:pPr>
      <w:r>
        <w:t>3.2. A szakképesítés munkaterületének rövid leírása:</w:t>
      </w:r>
    </w:p>
    <w:p w:rsidR="000C7F5E" w:rsidRDefault="000C7F5E" w:rsidP="00794966">
      <w:pPr>
        <w:widowControl w:val="0"/>
        <w:autoSpaceDE w:val="0"/>
        <w:autoSpaceDN w:val="0"/>
        <w:adjustRightInd w:val="0"/>
        <w:spacing w:before="100" w:beforeAutospacing="1"/>
        <w:jc w:val="both"/>
      </w:pPr>
      <w:r>
        <w:rPr>
          <w:b/>
        </w:rPr>
        <w:t>A hegesztõ szakember</w:t>
      </w:r>
      <w:r>
        <w:t xml:space="preserve"> fém alkatrészek hegesztését és vágását végzi gázláng, villamos ív, ill. fémolvasztásos vágására vagy egybe- olvasztására szolgáló más hõforrások segítségével.</w:t>
      </w:r>
    </w:p>
    <w:p w:rsidR="000C7F5E" w:rsidRDefault="000C7F5E" w:rsidP="00794966">
      <w:pPr>
        <w:spacing w:before="100" w:beforeAutospacing="1" w:after="100" w:afterAutospacing="1"/>
        <w:jc w:val="both"/>
      </w:pPr>
      <w:r>
        <w:rPr>
          <w:b/>
          <w:color w:val="FF0000"/>
          <w:u w:val="single"/>
        </w:rPr>
        <w:t>A hegesztõ hiányszakma, ezért a képzés idejére a tanulók ösztöndíjat kapnak!</w:t>
      </w:r>
    </w:p>
    <w:p w:rsidR="000C7F5E" w:rsidRDefault="000C7F5E" w:rsidP="00794966">
      <w:pPr>
        <w:spacing w:before="100" w:beforeAutospacing="1" w:after="100" w:afterAutospacing="1"/>
        <w:jc w:val="both"/>
      </w:pPr>
      <w:r>
        <w:rPr>
          <w:b/>
          <w:u w:val="single"/>
        </w:rPr>
        <w:t>Továbbképzési lehetõség a szakiskolát végzett tanulóinknak:</w:t>
      </w:r>
    </w:p>
    <w:p w:rsidR="000C7F5E" w:rsidRDefault="000C7F5E" w:rsidP="00794966">
      <w:pPr>
        <w:spacing w:before="100" w:beforeAutospacing="1" w:after="100" w:afterAutospacing="1"/>
        <w:jc w:val="both"/>
      </w:pPr>
      <w:r>
        <w:rPr>
          <w:b/>
          <w:u w:val="single"/>
        </w:rPr>
        <w:t>Szakközépiskolai felnõttoktatás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kód:</w:t>
      </w:r>
      <w:r>
        <w:rPr>
          <w:b/>
          <w:u w:val="single"/>
        </w:rPr>
        <w:tab/>
        <w:t>26</w:t>
      </w:r>
    </w:p>
    <w:p w:rsidR="000C7F5E" w:rsidRDefault="000C7F5E" w:rsidP="00794966">
      <w:pPr>
        <w:spacing w:before="100" w:beforeAutospacing="1" w:after="100" w:afterAutospacing="1"/>
        <w:jc w:val="both"/>
      </w:pPr>
      <w:r>
        <w:rPr>
          <w:b/>
        </w:rPr>
        <w:t>(esti) 11. és 12. osztály érettségi kimenettel, csak közismereti tantárgyak</w:t>
      </w:r>
    </w:p>
    <w:p w:rsidR="000C7F5E" w:rsidRDefault="000C7F5E" w:rsidP="0029133C">
      <w:pPr>
        <w:spacing w:before="100" w:beforeAutospacing="1" w:after="100" w:afterAutospacing="1"/>
        <w:jc w:val="both"/>
      </w:pPr>
    </w:p>
    <w:p w:rsidR="000C7F5E" w:rsidRDefault="000C7F5E" w:rsidP="00794966">
      <w:pPr>
        <w:spacing w:before="100" w:beforeAutospacing="1" w:after="100" w:afterAutospacing="1"/>
        <w:jc w:val="both"/>
      </w:pPr>
      <w:r>
        <w:rPr>
          <w:b/>
          <w:sz w:val="32"/>
          <w:szCs w:val="32"/>
        </w:rPr>
        <w:t>Szakközépiskolai képzéseink</w:t>
      </w:r>
      <w:r>
        <w:rPr>
          <w:b/>
        </w:rPr>
        <w:t xml:space="preserve"> ( 4 éves, 8 általánosra épül)</w:t>
      </w:r>
    </w:p>
    <w:p w:rsidR="000C7F5E" w:rsidRDefault="000C7F5E" w:rsidP="00794966">
      <w:pPr>
        <w:spacing w:before="100" w:beforeAutospacing="1" w:after="100" w:afterAutospacing="1"/>
        <w:jc w:val="both"/>
      </w:pPr>
      <w:r>
        <w:rPr>
          <w:b/>
          <w:u w:val="single"/>
        </w:rPr>
        <w:t>4 éves szakközépiskola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kód:</w:t>
      </w:r>
      <w:r>
        <w:rPr>
          <w:b/>
          <w:u w:val="single"/>
        </w:rPr>
        <w:tab/>
        <w:t>10</w:t>
      </w:r>
    </w:p>
    <w:p w:rsidR="000C7F5E" w:rsidRDefault="000C7F5E" w:rsidP="00794966">
      <w:pPr>
        <w:spacing w:before="100" w:beforeAutospacing="1" w:after="100" w:afterAutospacing="1"/>
        <w:jc w:val="both"/>
      </w:pPr>
      <w:r>
        <w:t>A közismereti tantárgyak mellett a közlekedés gépészeti ágazati szakképzés kerettantervének megfelelõen szakmai elméleti és szakmai gyakorlati oktatás folyik. A négy szakközépiskolai évfolyam alatt az autószerelõ és az autóelektronikai mûszerész képzés elsõ éves tananyagát sajátítják el a tanulók. A képzés végén középszintû érettségi vizsgát tesznek, közismereti és szakmai tantárgyból is. Ezután folytatják a szakmai képzést a következõ szakmákban:</w:t>
      </w:r>
    </w:p>
    <w:p w:rsidR="000C7F5E" w:rsidRDefault="000C7F5E" w:rsidP="00794966">
      <w:pPr>
        <w:spacing w:before="100" w:beforeAutospacing="1" w:after="100" w:afterAutospacing="1"/>
        <w:jc w:val="both"/>
      </w:pPr>
      <w:r>
        <w:rPr>
          <w:b/>
          <w:u w:val="single"/>
        </w:rPr>
        <w:t>Autószerelõ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kód:</w:t>
      </w:r>
      <w:r>
        <w:rPr>
          <w:b/>
          <w:u w:val="single"/>
        </w:rPr>
        <w:tab/>
        <w:t>11</w:t>
      </w:r>
    </w:p>
    <w:p w:rsidR="000C7F5E" w:rsidRDefault="000C7F5E" w:rsidP="00794966">
      <w:pPr>
        <w:spacing w:before="100" w:beforeAutospacing="1" w:after="100" w:afterAutospacing="1"/>
        <w:jc w:val="both"/>
      </w:pPr>
      <w:r>
        <w:rPr>
          <w:b/>
        </w:rPr>
        <w:t>OKJ 54 525 02</w:t>
      </w:r>
    </w:p>
    <w:p w:rsidR="000C7F5E" w:rsidRDefault="000C7F5E" w:rsidP="00794966">
      <w:pPr>
        <w:spacing w:before="100" w:beforeAutospacing="1" w:after="100" w:afterAutospacing="1"/>
        <w:jc w:val="both"/>
      </w:pPr>
      <w:r>
        <w:t>1 éves képzés, a 4 éves ágazati szakképzésre épül.</w:t>
      </w:r>
    </w:p>
    <w:p w:rsidR="000C7F5E" w:rsidRDefault="000C7F5E" w:rsidP="00794966">
      <w:pPr>
        <w:autoSpaceDE w:val="0"/>
        <w:autoSpaceDN w:val="0"/>
        <w:adjustRightInd w:val="0"/>
        <w:spacing w:before="100" w:beforeAutospacing="1"/>
      </w:pPr>
      <w:r>
        <w:rPr>
          <w:rFonts w:ascii="TimesNewRomanPSMT" w:hAnsi="TimesNewRomanPSMT" w:cs="TimesNewRomanPSMT"/>
          <w:sz w:val="20"/>
          <w:szCs w:val="20"/>
        </w:rPr>
        <w:t>3.2. A szakképesítés munkaterületének rövid leírása:</w:t>
      </w:r>
    </w:p>
    <w:p w:rsidR="000C7F5E" w:rsidRDefault="000C7F5E" w:rsidP="00794966">
      <w:pPr>
        <w:autoSpaceDE w:val="0"/>
        <w:autoSpaceDN w:val="0"/>
        <w:adjustRightInd w:val="0"/>
        <w:spacing w:before="100" w:beforeAutospacing="1"/>
      </w:pPr>
      <w:r>
        <w:rPr>
          <w:rFonts w:ascii="TimesNewRomanPSMT CE" w:hAnsi="TimesNewRomanPSMT CE" w:cs="TimesNewRomanPSMT CE"/>
          <w:b/>
          <w:sz w:val="20"/>
          <w:szCs w:val="20"/>
        </w:rPr>
        <w:t>Az autószerelő</w:t>
      </w:r>
      <w:r>
        <w:rPr>
          <w:rFonts w:ascii="TimesNewRomanPSMT CE" w:hAnsi="TimesNewRomanPSMT CE" w:cs="TimesNewRomanPSMT CE"/>
          <w:sz w:val="20"/>
          <w:szCs w:val="20"/>
        </w:rPr>
        <w:t xml:space="preserve"> a közúti járművek valamennyi gépészeti és elektronikusan irányított egységére vonatkozó</w:t>
      </w:r>
    </w:p>
    <w:p w:rsidR="000C7F5E" w:rsidRDefault="000C7F5E" w:rsidP="00794966">
      <w:pPr>
        <w:autoSpaceDE w:val="0"/>
        <w:autoSpaceDN w:val="0"/>
        <w:adjustRightInd w:val="0"/>
        <w:spacing w:before="100" w:beforeAutospacing="1"/>
      </w:pPr>
      <w:r>
        <w:rPr>
          <w:rFonts w:ascii="TimesNewRomanPSMT CE" w:hAnsi="TimesNewRomanPSMT CE" w:cs="TimesNewRomanPSMT CE"/>
          <w:sz w:val="20"/>
          <w:szCs w:val="20"/>
        </w:rPr>
        <w:t>műszaki állapotvizsgálati, hibafeltárási és hibaelhárítási, valamint javítási és beállítási műveleteket hajt végre.</w:t>
      </w:r>
    </w:p>
    <w:p w:rsidR="000C7F5E" w:rsidRDefault="000C7F5E" w:rsidP="00794966">
      <w:pPr>
        <w:autoSpaceDE w:val="0"/>
        <w:autoSpaceDN w:val="0"/>
        <w:adjustRightInd w:val="0"/>
        <w:spacing w:before="100" w:beforeAutospacing="1"/>
      </w:pPr>
      <w:r>
        <w:rPr>
          <w:rFonts w:ascii="TimesNewRomanPSMT CE" w:hAnsi="TimesNewRomanPSMT CE" w:cs="TimesNewRomanPSMT CE"/>
          <w:sz w:val="20"/>
          <w:szCs w:val="20"/>
        </w:rPr>
        <w:t>Tevékenysége során azonosítja a járművet, annak főegységeit és szemrevételezéssel, illetve műszeres méréssel</w:t>
      </w:r>
    </w:p>
    <w:p w:rsidR="000C7F5E" w:rsidRDefault="000C7F5E" w:rsidP="00794966">
      <w:pPr>
        <w:autoSpaceDE w:val="0"/>
        <w:autoSpaceDN w:val="0"/>
        <w:adjustRightInd w:val="0"/>
        <w:spacing w:before="100" w:beforeAutospacing="1"/>
      </w:pPr>
      <w:r>
        <w:rPr>
          <w:rFonts w:ascii="TimesNewRomanPSMT CE" w:hAnsi="TimesNewRomanPSMT CE" w:cs="TimesNewRomanPSMT CE"/>
          <w:sz w:val="20"/>
          <w:szCs w:val="20"/>
        </w:rPr>
        <w:t>hibafeltárást, műszaki állapotvizsgálatot végez. Megtervezi a munkafolyamatot és közreműködik az árajánlat</w:t>
      </w:r>
    </w:p>
    <w:p w:rsidR="000C7F5E" w:rsidRDefault="000C7F5E" w:rsidP="00794966">
      <w:pPr>
        <w:autoSpaceDE w:val="0"/>
        <w:autoSpaceDN w:val="0"/>
        <w:adjustRightInd w:val="0"/>
        <w:spacing w:before="100" w:beforeAutospacing="1"/>
      </w:pPr>
      <w:r>
        <w:rPr>
          <w:rFonts w:ascii="TimesNewRomanPSMT" w:hAnsi="TimesNewRomanPSMT" w:cs="TimesNewRomanPSMT"/>
          <w:sz w:val="20"/>
          <w:szCs w:val="20"/>
        </w:rPr>
        <w:t>készítésénél. Javítás esetén azonosítja és kiválasztja a szükséges alkatrészeket, megtervezi a technológiát, elvégzi</w:t>
      </w:r>
    </w:p>
    <w:p w:rsidR="000C7F5E" w:rsidRDefault="000C7F5E" w:rsidP="00794966">
      <w:pPr>
        <w:autoSpaceDE w:val="0"/>
        <w:autoSpaceDN w:val="0"/>
        <w:adjustRightInd w:val="0"/>
        <w:spacing w:before="100" w:beforeAutospacing="1"/>
      </w:pPr>
      <w:r>
        <w:rPr>
          <w:rFonts w:ascii="TimesNewRomanPSMT CE" w:hAnsi="TimesNewRomanPSMT CE" w:cs="TimesNewRomanPSMT CE"/>
          <w:sz w:val="20"/>
          <w:szCs w:val="20"/>
        </w:rPr>
        <w:t>a szerelési műveleteket, majd méréssel, próbával ellenőrzi. Az autószerelő a közúti járművön környezetvédelmi</w:t>
      </w:r>
    </w:p>
    <w:p w:rsidR="000C7F5E" w:rsidRDefault="000C7F5E" w:rsidP="00794966">
      <w:pPr>
        <w:autoSpaceDE w:val="0"/>
        <w:autoSpaceDN w:val="0"/>
        <w:adjustRightInd w:val="0"/>
        <w:spacing w:before="100" w:beforeAutospacing="1"/>
      </w:pPr>
      <w:r>
        <w:rPr>
          <w:rFonts w:ascii="TimesNewRomanPSMT CE" w:hAnsi="TimesNewRomanPSMT CE" w:cs="TimesNewRomanPSMT CE"/>
          <w:sz w:val="20"/>
          <w:szCs w:val="20"/>
        </w:rPr>
        <w:t>és közlekedésbiztonsági ellenőrző mérést hajt végre, a szükséges javítási és bizonylatolási dokumentációt</w:t>
      </w:r>
    </w:p>
    <w:p w:rsidR="000C7F5E" w:rsidRDefault="000C7F5E" w:rsidP="00794966">
      <w:pPr>
        <w:autoSpaceDE w:val="0"/>
        <w:autoSpaceDN w:val="0"/>
        <w:adjustRightInd w:val="0"/>
        <w:spacing w:before="100" w:beforeAutospacing="1"/>
      </w:pPr>
      <w:r>
        <w:rPr>
          <w:rFonts w:ascii="TimesNewRomanPSMT" w:hAnsi="TimesNewRomanPSMT" w:cs="TimesNewRomanPSMT"/>
          <w:sz w:val="20"/>
          <w:szCs w:val="20"/>
        </w:rPr>
        <w:t>kiállítja.</w:t>
      </w:r>
    </w:p>
    <w:p w:rsidR="000C7F5E" w:rsidRDefault="000C7F5E" w:rsidP="00794966">
      <w:pPr>
        <w:spacing w:before="100" w:beforeAutospacing="1" w:after="100" w:afterAutospacing="1"/>
        <w:jc w:val="both"/>
      </w:pPr>
      <w:r>
        <w:rPr>
          <w:b/>
          <w:u w:val="single"/>
        </w:rPr>
        <w:t>Autóelektronikai mûszerész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kód: 29</w:t>
      </w:r>
    </w:p>
    <w:p w:rsidR="000C7F5E" w:rsidRDefault="000C7F5E" w:rsidP="00794966">
      <w:pPr>
        <w:spacing w:before="100" w:beforeAutospacing="1" w:after="100" w:afterAutospacing="1"/>
        <w:jc w:val="both"/>
      </w:pPr>
      <w:r>
        <w:rPr>
          <w:b/>
        </w:rPr>
        <w:t>OKJ 54 525 01</w:t>
      </w:r>
    </w:p>
    <w:p w:rsidR="000C7F5E" w:rsidRDefault="000C7F5E" w:rsidP="00794966">
      <w:pPr>
        <w:spacing w:before="100" w:beforeAutospacing="1" w:after="100" w:afterAutospacing="1"/>
        <w:jc w:val="both"/>
      </w:pPr>
      <w:r>
        <w:t>2 éves képzés, érettségire épül</w:t>
      </w:r>
    </w:p>
    <w:p w:rsidR="000C7F5E" w:rsidRDefault="000C7F5E" w:rsidP="00794966">
      <w:pPr>
        <w:autoSpaceDE w:val="0"/>
        <w:autoSpaceDN w:val="0"/>
        <w:adjustRightInd w:val="0"/>
        <w:spacing w:before="100" w:beforeAutospacing="1" w:after="280"/>
        <w:ind w:firstLine="280"/>
      </w:pPr>
      <w:r>
        <w:rPr>
          <w:sz w:val="20"/>
          <w:szCs w:val="20"/>
        </w:rPr>
        <w:t>3.2. A szakképesítés munkaterületének rövid leírása:</w:t>
      </w:r>
    </w:p>
    <w:p w:rsidR="000C7F5E" w:rsidRDefault="000C7F5E" w:rsidP="00794966">
      <w:pPr>
        <w:autoSpaceDE w:val="0"/>
        <w:autoSpaceDN w:val="0"/>
        <w:adjustRightInd w:val="0"/>
        <w:spacing w:before="100" w:beforeAutospacing="1" w:after="280"/>
        <w:ind w:firstLine="280"/>
      </w:pPr>
      <w:r>
        <w:rPr>
          <w:b/>
          <w:sz w:val="20"/>
          <w:szCs w:val="20"/>
        </w:rPr>
        <w:t>Az autóelektronikai mûszerész</w:t>
      </w:r>
      <w:r>
        <w:rPr>
          <w:sz w:val="20"/>
          <w:szCs w:val="20"/>
        </w:rPr>
        <w:t xml:space="preserve"> a javítási folyamat egészében önállóan illetve a munkatársaival közösen összetett feladatokat lát el. A hibás gépjármûvekkel kapcsolatos diagnosztikai, elektromos-javítási feladatokat magas szinten végzi,  és felismeri a gépjármû egyéb (pl. nem elektromos) hibáit is. A hibák kihatásait felismeri, elemzi. A munkatevékenysége során együttmûködik a javítás egyéb területein dolgozó munkatársaival, így biztosítja a komplex javítási tevékenység összehangolt mûködését, melynek révén hozzájárul a szervezet teljesítményének folyamatos növeléséhez, a szervezet céljainak eléréséhez. Ellátja a munkafelvételi, ügyfélkezelési feladatokat, szükség esetén árajánlat készítésénél is közremûködik. Feladata a tevékenységi körének megfelelõ diagnosztikai mûszerek és készülékek, valamint adott esetben a szükséges garázsberendezések üzemeltetése, felügyelete és ellenõrzése is. Ezért ismernie kell e berendezések mûködési elvét, üzemeltetési feltételeit.</w:t>
      </w:r>
    </w:p>
    <w:p w:rsidR="000C7F5E" w:rsidRDefault="000C7F5E" w:rsidP="00794966">
      <w:pPr>
        <w:spacing w:before="100" w:beforeAutospacing="1" w:after="100" w:afterAutospacing="1"/>
        <w:jc w:val="both"/>
      </w:pPr>
      <w:r>
        <w:rPr>
          <w:b/>
          <w:u w:val="single"/>
        </w:rPr>
        <w:t>Autószerelõ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kód:</w:t>
      </w:r>
      <w:r>
        <w:rPr>
          <w:b/>
          <w:u w:val="single"/>
        </w:rPr>
        <w:tab/>
        <w:t>28</w:t>
      </w:r>
    </w:p>
    <w:p w:rsidR="000C7F5E" w:rsidRDefault="000C7F5E" w:rsidP="00794966">
      <w:pPr>
        <w:spacing w:before="100" w:beforeAutospacing="1" w:after="100" w:afterAutospacing="1"/>
        <w:jc w:val="both"/>
      </w:pPr>
      <w:r>
        <w:rPr>
          <w:b/>
        </w:rPr>
        <w:t>OKJ 54 525 02</w:t>
      </w:r>
    </w:p>
    <w:p w:rsidR="000C7F5E" w:rsidRDefault="000C7F5E" w:rsidP="00794966">
      <w:pPr>
        <w:spacing w:before="100" w:beforeAutospacing="1" w:after="100" w:afterAutospacing="1"/>
        <w:jc w:val="both"/>
      </w:pPr>
      <w:r>
        <w:t>2 éves képzés, nappali rendszerû, érettségire épül</w:t>
      </w:r>
    </w:p>
    <w:p w:rsidR="000C7F5E" w:rsidRDefault="000C7F5E" w:rsidP="00794966">
      <w:pPr>
        <w:spacing w:before="100" w:beforeAutospacing="1" w:after="100" w:afterAutospacing="1"/>
        <w:jc w:val="both"/>
      </w:pPr>
      <w:r>
        <w:t>Azok a tanulók jelentkezhetnek a képzésre, akik nem közlekedés szakmacsoportos szakközépiskolában, vagy gimnáziumban fejezték be tanulmányaikat (érettségi).</w:t>
      </w:r>
    </w:p>
    <w:p w:rsidR="000C7F5E" w:rsidRDefault="000C7F5E" w:rsidP="00794966">
      <w:pPr>
        <w:spacing w:before="100" w:beforeAutospacing="1" w:after="100" w:afterAutospacing="1"/>
        <w:jc w:val="both"/>
      </w:pPr>
      <w:r>
        <w:rPr>
          <w:b/>
          <w:u w:val="single"/>
        </w:rPr>
        <w:t>Továbbképzési lehetõség az autószerelõ és az autóelektronikai mûszerész szakmában</w:t>
      </w:r>
    </w:p>
    <w:p w:rsidR="000C7F5E" w:rsidRDefault="000C7F5E" w:rsidP="00794966">
      <w:pPr>
        <w:spacing w:before="100" w:beforeAutospacing="1" w:after="100" w:afterAutospacing="1"/>
        <w:jc w:val="both"/>
      </w:pPr>
      <w:r>
        <w:rPr>
          <w:b/>
          <w:u w:val="single"/>
        </w:rPr>
        <w:t>Autótechnikus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kód: 30</w:t>
      </w:r>
    </w:p>
    <w:p w:rsidR="000C7F5E" w:rsidRDefault="000C7F5E" w:rsidP="00794966">
      <w:pPr>
        <w:spacing w:before="100" w:beforeAutospacing="1" w:after="100" w:afterAutospacing="1"/>
        <w:jc w:val="both"/>
      </w:pPr>
      <w:r>
        <w:rPr>
          <w:b/>
        </w:rPr>
        <w:t>OKJ 55 525 01</w:t>
      </w:r>
    </w:p>
    <w:p w:rsidR="000C7F5E" w:rsidRDefault="000C7F5E" w:rsidP="00794966">
      <w:pPr>
        <w:spacing w:before="100" w:beforeAutospacing="1" w:after="100" w:afterAutospacing="1"/>
        <w:jc w:val="both"/>
      </w:pPr>
      <w:r>
        <w:t>ráépülés, 1 éves képzés, a már megszerzett autószerelõ vagy autóelektronikai mûszerész képzés után.</w:t>
      </w:r>
    </w:p>
    <w:p w:rsidR="000C7F5E" w:rsidRDefault="000C7F5E" w:rsidP="00794966">
      <w:pPr>
        <w:autoSpaceDE w:val="0"/>
        <w:autoSpaceDN w:val="0"/>
        <w:adjustRightInd w:val="0"/>
        <w:spacing w:before="100" w:beforeAutospacing="1" w:after="280"/>
        <w:ind w:firstLine="280"/>
      </w:pPr>
      <w:r>
        <w:rPr>
          <w:sz w:val="20"/>
          <w:szCs w:val="20"/>
        </w:rPr>
        <w:t>3.2. A szakképesítés-ráépülés munkaterületének rövid leírása:</w:t>
      </w:r>
    </w:p>
    <w:p w:rsidR="000C7F5E" w:rsidRDefault="000C7F5E" w:rsidP="00794966">
      <w:pPr>
        <w:autoSpaceDE w:val="0"/>
        <w:autoSpaceDN w:val="0"/>
        <w:adjustRightInd w:val="0"/>
        <w:spacing w:before="100" w:beforeAutospacing="1"/>
        <w:ind w:firstLine="204"/>
        <w:jc w:val="both"/>
      </w:pPr>
      <w:r>
        <w:rPr>
          <w:b/>
          <w:sz w:val="20"/>
          <w:szCs w:val="20"/>
        </w:rPr>
        <w:t>Az autótechnikus</w:t>
      </w:r>
      <w:r>
        <w:rPr>
          <w:sz w:val="20"/>
          <w:szCs w:val="20"/>
        </w:rPr>
        <w:t xml:space="preserve"> a közúti jármûvek – gépjármûvek és pótkocsik – rendeltetésszerû használatának mûszaki feltételeit biztosító jármûfenntartás teljes mûszaki-gazdasági tevékenységét ellátja, mely tartalmazza a jármûvek valamennyi gépészeti, villamos és elektronikus egységére vonatkozó karbantartási, mûszaki állapotvizsgálati, hibafeltárási és hibaelhárítási, beállítási és fenntartási mûveleteit, valamint a szervezési, vezetési, nyilvántartási és ügyviteli feladatokat.</w:t>
      </w:r>
    </w:p>
    <w:p w:rsidR="000C7F5E" w:rsidRDefault="000C7F5E" w:rsidP="00794966">
      <w:pPr>
        <w:spacing w:before="100" w:beforeAutospacing="1" w:after="100" w:afterAutospacing="1"/>
        <w:jc w:val="both"/>
      </w:pPr>
      <w:r w:rsidRPr="00974F87">
        <w:rPr>
          <w:b/>
          <w:u w:val="single"/>
        </w:rPr>
        <w:t>További képzési lehetõségek a Csonka János Mûszaki Szakközépiskola és Szakiskolában</w:t>
      </w:r>
    </w:p>
    <w:p w:rsidR="000C7F5E" w:rsidRDefault="000C7F5E" w:rsidP="00794966">
      <w:pPr>
        <w:spacing w:before="100" w:beforeAutospacing="1" w:after="100" w:afterAutospacing="1"/>
      </w:pPr>
      <w:r>
        <w:rPr>
          <w:b/>
          <w:u w:val="single"/>
        </w:rPr>
        <w:t>Karosszérialakatos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kód: 34</w:t>
      </w:r>
    </w:p>
    <w:p w:rsidR="000C7F5E" w:rsidRDefault="000C7F5E" w:rsidP="00794966">
      <w:pPr>
        <w:spacing w:before="100" w:beforeAutospacing="1" w:after="100" w:afterAutospacing="1"/>
      </w:pPr>
      <w:r>
        <w:rPr>
          <w:b/>
        </w:rPr>
        <w:t>OKJ 34 525 06</w:t>
      </w:r>
    </w:p>
    <w:p w:rsidR="000C7F5E" w:rsidRDefault="000C7F5E" w:rsidP="00794966">
      <w:pPr>
        <w:spacing w:before="100" w:beforeAutospacing="1" w:after="100" w:afterAutospacing="1"/>
      </w:pPr>
      <w:r>
        <w:t>beszámítós, 2 éves, esti felnõtt képzés</w:t>
      </w:r>
    </w:p>
    <w:p w:rsidR="000C7F5E" w:rsidRDefault="000C7F5E" w:rsidP="00794966">
      <w:pPr>
        <w:spacing w:before="100" w:beforeAutospacing="1" w:after="100" w:afterAutospacing="1"/>
      </w:pPr>
      <w:r>
        <w:t>Azok a fiatalok jelentkezhetnek, akik a szakközépiskolai vagy gimnáziumi tanulmányaik befejezése után a karosszérialakatos szakmát szeretnék elsajátítani. A képzés két éves, nincsenek közismereti tantárgyak, csak szakmai elméleti és gyakorlati modulok.</w:t>
      </w:r>
    </w:p>
    <w:p w:rsidR="000C7F5E" w:rsidRDefault="000C7F5E" w:rsidP="00794966">
      <w:pPr>
        <w:spacing w:before="100" w:beforeAutospacing="1" w:after="100" w:afterAutospacing="1"/>
        <w:jc w:val="both"/>
      </w:pPr>
      <w:r>
        <w:rPr>
          <w:b/>
          <w:u w:val="single"/>
        </w:rPr>
        <w:t>Autószerelõ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kód:</w:t>
      </w:r>
      <w:r>
        <w:rPr>
          <w:b/>
          <w:u w:val="single"/>
        </w:rPr>
        <w:tab/>
        <w:t>12</w:t>
      </w:r>
    </w:p>
    <w:p w:rsidR="000C7F5E" w:rsidRDefault="000C7F5E" w:rsidP="00794966">
      <w:pPr>
        <w:spacing w:before="100" w:beforeAutospacing="1" w:after="100" w:afterAutospacing="1"/>
        <w:jc w:val="both"/>
      </w:pPr>
      <w:r>
        <w:rPr>
          <w:b/>
        </w:rPr>
        <w:t>OKJ 54 525 02</w:t>
      </w:r>
    </w:p>
    <w:p w:rsidR="000C7F5E" w:rsidRDefault="000C7F5E" w:rsidP="00794966">
      <w:pPr>
        <w:spacing w:before="100" w:beforeAutospacing="1" w:after="100" w:afterAutospacing="1"/>
      </w:pPr>
      <w:r>
        <w:t>2 éves képzés, 4 éves középiskolára épülõ esti felnõttoktatás</w:t>
      </w:r>
    </w:p>
    <w:p w:rsidR="000C7F5E" w:rsidRDefault="000C7F5E" w:rsidP="00794966">
      <w:pPr>
        <w:spacing w:before="100" w:beforeAutospacing="1" w:after="100" w:afterAutospacing="1"/>
      </w:pPr>
      <w:r>
        <w:t>Azok a tanulók jelentkezhetnek, akik már betöltötték 21. életévüket és még nem szerezték meg elsõ szakmai képzésüket, vagy másodszakmásak.</w:t>
      </w:r>
    </w:p>
    <w:p w:rsidR="000C7F5E" w:rsidRDefault="000C7F5E" w:rsidP="00794966">
      <w:pPr>
        <w:spacing w:before="100" w:beforeAutospacing="1" w:after="100" w:afterAutospacing="1"/>
      </w:pPr>
      <w:r>
        <w:rPr>
          <w:b/>
          <w:u w:val="single"/>
        </w:rPr>
        <w:t>Felnõttképzés:</w:t>
      </w:r>
    </w:p>
    <w:p w:rsidR="000C7F5E" w:rsidRDefault="000C7F5E" w:rsidP="00794966">
      <w:pPr>
        <w:spacing w:before="100" w:beforeAutospacing="1" w:after="100" w:afterAutospacing="1"/>
      </w:pPr>
      <w:r>
        <w:t>Akkreditált felnõttképzési központ vagyunk.( AL-2751)</w:t>
      </w:r>
    </w:p>
    <w:p w:rsidR="000C7F5E" w:rsidRDefault="000C7F5E" w:rsidP="00794966">
      <w:pPr>
        <w:spacing w:before="100" w:beforeAutospacing="1" w:after="100" w:afterAutospacing="1"/>
      </w:pPr>
      <w:r>
        <w:rPr>
          <w:b/>
        </w:rPr>
        <w:t>Képzéseket tartunk az autószerelõ, autóelektronikai mûszerész, autótechnikus, karosszérialakatos és jármûfényezõ szakmákban.</w:t>
      </w:r>
    </w:p>
    <w:p w:rsidR="000C7F5E" w:rsidRDefault="000C7F5E" w:rsidP="00794966">
      <w:pPr>
        <w:spacing w:before="100" w:beforeAutospacing="1" w:after="100" w:afterAutospacing="1"/>
      </w:pPr>
      <w:r>
        <w:rPr>
          <w:b/>
          <w:u w:val="single"/>
        </w:rPr>
        <w:t>Információk</w:t>
      </w:r>
      <w:r>
        <w:t>: honlapunkon a felnõttképzés ablakban</w:t>
      </w:r>
    </w:p>
    <w:p w:rsidR="000C7F5E" w:rsidRDefault="000C7F5E" w:rsidP="00794966">
      <w:pPr>
        <w:spacing w:before="100" w:beforeAutospacing="1" w:after="100" w:afterAutospacing="1"/>
      </w:pPr>
      <w:r>
        <w:rPr>
          <w:b/>
        </w:rPr>
        <w:t> </w:t>
      </w:r>
    </w:p>
    <w:p w:rsidR="000C7F5E" w:rsidRDefault="000C7F5E" w:rsidP="00794966">
      <w:pPr>
        <w:spacing w:before="100" w:beforeAutospacing="1" w:after="100" w:afterAutospacing="1"/>
      </w:pPr>
      <w:r>
        <w:rPr>
          <w:b/>
          <w:sz w:val="28"/>
          <w:szCs w:val="28"/>
        </w:rPr>
        <w:t>A Csonka János Mûszaki Szakközépiskola és Szakiskola adatai:</w:t>
      </w:r>
    </w:p>
    <w:p w:rsidR="000C7F5E" w:rsidRDefault="000C7F5E" w:rsidP="00794966">
      <w:pPr>
        <w:spacing w:before="100" w:beforeAutospacing="1" w:after="100" w:afterAutospacing="1"/>
      </w:pPr>
      <w:r>
        <w:rPr>
          <w:b/>
        </w:rPr>
        <w:t>Címe:</w:t>
      </w:r>
      <w:r>
        <w:t xml:space="preserve"> 1165 Budapest, Arany János u. 55.</w:t>
      </w:r>
    </w:p>
    <w:p w:rsidR="000C7F5E" w:rsidRDefault="000C7F5E" w:rsidP="00794966">
      <w:pPr>
        <w:spacing w:before="100" w:beforeAutospacing="1" w:after="100" w:afterAutospacing="1"/>
        <w:outlineLvl w:val="0"/>
      </w:pPr>
      <w:r>
        <w:rPr>
          <w:b/>
          <w:bCs/>
          <w:kern w:val="36"/>
          <w:sz w:val="28"/>
          <w:szCs w:val="28"/>
        </w:rPr>
        <w:t>Azonosító kód</w:t>
      </w:r>
      <w:r>
        <w:rPr>
          <w:b/>
          <w:bCs/>
          <w:kern w:val="36"/>
          <w:sz w:val="28"/>
          <w:szCs w:val="28"/>
        </w:rPr>
        <w:tab/>
        <w:t>OM  035400</w:t>
      </w:r>
    </w:p>
    <w:p w:rsidR="000C7F5E" w:rsidRDefault="000C7F5E" w:rsidP="00794966">
      <w:pPr>
        <w:spacing w:before="100" w:beforeAutospacing="1" w:after="100" w:afterAutospacing="1"/>
        <w:jc w:val="both"/>
      </w:pPr>
      <w:r>
        <w:rPr>
          <w:b/>
        </w:rPr>
        <w:t xml:space="preserve">Telefon:  </w:t>
      </w:r>
      <w:r>
        <w:t xml:space="preserve">1 403 2677 </w:t>
      </w:r>
      <w:r>
        <w:tab/>
      </w:r>
      <w:r>
        <w:tab/>
      </w:r>
      <w:r>
        <w:tab/>
      </w:r>
      <w:r>
        <w:rPr>
          <w:b/>
        </w:rPr>
        <w:t>Fax:</w:t>
      </w:r>
      <w:r>
        <w:t xml:space="preserve">   </w:t>
      </w:r>
      <w:r>
        <w:tab/>
        <w:t xml:space="preserve">    1 403 2937</w:t>
      </w:r>
    </w:p>
    <w:p w:rsidR="000C7F5E" w:rsidRDefault="000C7F5E" w:rsidP="00794966">
      <w:pPr>
        <w:spacing w:before="100" w:beforeAutospacing="1" w:after="100" w:afterAutospacing="1"/>
        <w:jc w:val="both"/>
      </w:pPr>
      <w:r>
        <w:rPr>
          <w:b/>
        </w:rPr>
        <w:t>Honlap</w:t>
      </w:r>
      <w:r>
        <w:t xml:space="preserve">: </w:t>
      </w:r>
      <w:hyperlink r:id="rId7" w:history="1">
        <w:r>
          <w:rPr>
            <w:rStyle w:val="Hyperlink"/>
          </w:rPr>
          <w:t>www.csonka-bp.sulinet.hu</w:t>
        </w:r>
      </w:hyperlink>
      <w:r>
        <w:tab/>
      </w:r>
      <w:r>
        <w:tab/>
      </w:r>
      <w:r>
        <w:tab/>
      </w:r>
      <w:r>
        <w:rPr>
          <w:b/>
        </w:rPr>
        <w:t>email:</w:t>
      </w:r>
      <w:r>
        <w:t xml:space="preserve">    </w:t>
      </w:r>
      <w:hyperlink r:id="rId8" w:history="1">
        <w:r>
          <w:rPr>
            <w:rStyle w:val="Hyperlink"/>
          </w:rPr>
          <w:t>info@csonka-bp.sulinet.hu</w:t>
        </w:r>
      </w:hyperlink>
    </w:p>
    <w:p w:rsidR="000C7F5E" w:rsidRDefault="000C7F5E" w:rsidP="00794966">
      <w:pPr>
        <w:spacing w:before="100" w:beforeAutospacing="1" w:after="100" w:afterAutospacing="1"/>
        <w:jc w:val="both"/>
      </w:pPr>
      <w:r>
        <w:rPr>
          <w:b/>
        </w:rPr>
        <w:t>Megközelíthetõség: az Örs vezér terétõl a 244 autóbusz járatával</w:t>
      </w:r>
    </w:p>
    <w:p w:rsidR="000C7F5E" w:rsidRDefault="000C7F5E" w:rsidP="00794966">
      <w:pPr>
        <w:spacing w:before="100" w:beforeAutospacing="1" w:after="100" w:afterAutospacing="1"/>
        <w:ind w:left="360"/>
      </w:pPr>
      <w:r>
        <w:rPr>
          <w:b/>
          <w:color w:val="0000FF"/>
          <w:sz w:val="28"/>
          <w:u w:val="single"/>
        </w:rPr>
        <w:t>Nyílt napok:</w:t>
      </w:r>
      <w:r>
        <w:rPr>
          <w:b/>
          <w:color w:val="0000FF"/>
          <w:sz w:val="28"/>
          <w:u w:val="single"/>
        </w:rPr>
        <w:tab/>
      </w:r>
      <w:r>
        <w:rPr>
          <w:b/>
          <w:i/>
          <w:color w:val="0000FF"/>
          <w:u w:val="single"/>
        </w:rPr>
        <w:t>2014 október 20 – 21</w:t>
      </w:r>
      <w:r>
        <w:rPr>
          <w:b/>
          <w:i/>
          <w:color w:val="0000FF"/>
        </w:rPr>
        <w:tab/>
      </w:r>
      <w:r>
        <w:rPr>
          <w:b/>
          <w:i/>
          <w:color w:val="0000FF"/>
        </w:rPr>
        <w:tab/>
      </w:r>
      <w:r>
        <w:rPr>
          <w:b/>
          <w:i/>
          <w:color w:val="0000FF"/>
        </w:rPr>
        <w:tab/>
        <w:t>kezdés 9:00 órakor</w:t>
      </w:r>
    </w:p>
    <w:p w:rsidR="000C7F5E" w:rsidRDefault="000C7F5E" w:rsidP="00794966">
      <w:pPr>
        <w:spacing w:before="100" w:beforeAutospacing="1" w:after="100" w:afterAutospacing="1"/>
        <w:ind w:left="1416" w:firstLine="708"/>
      </w:pPr>
      <w:r>
        <w:rPr>
          <w:b/>
          <w:i/>
          <w:color w:val="0000FF"/>
          <w:u w:val="single"/>
        </w:rPr>
        <w:t>2014 november 6 - 7</w:t>
      </w:r>
    </w:p>
    <w:p w:rsidR="000C7F5E" w:rsidRDefault="000C7F5E" w:rsidP="00974F87">
      <w:pPr>
        <w:spacing w:before="100" w:beforeAutospacing="1" w:after="100" w:afterAutospacing="1"/>
        <w:ind w:left="1416" w:firstLine="708"/>
      </w:pPr>
      <w:r>
        <w:rPr>
          <w:b/>
          <w:i/>
          <w:color w:val="0000FF"/>
          <w:u w:val="single"/>
        </w:rPr>
        <w:t>2014 december 8 - 9</w:t>
      </w:r>
    </w:p>
    <w:p w:rsidR="000C7F5E" w:rsidRDefault="000C7F5E" w:rsidP="00794966">
      <w:pPr>
        <w:spacing w:before="100" w:beforeAutospacing="1" w:after="100" w:afterAutospacing="1"/>
        <w:outlineLvl w:val="0"/>
      </w:pPr>
      <w:r>
        <w:rPr>
          <w:b/>
          <w:bCs/>
          <w:kern w:val="36"/>
          <w:sz w:val="36"/>
          <w:szCs w:val="36"/>
          <w:u w:val="single"/>
        </w:rPr>
        <w:t>A felvételi eljárás rendje:</w:t>
      </w:r>
    </w:p>
    <w:p w:rsidR="000C7F5E" w:rsidRDefault="000C7F5E" w:rsidP="00794966">
      <w:pPr>
        <w:spacing w:before="100" w:beforeAutospacing="1" w:after="100" w:afterAutospacing="1"/>
      </w:pPr>
      <w:r>
        <w:t>A budapesti Csonka János Mûszaki Szakközépiskola és Szakiskola a jelentkezõk részére központi felvételi írásbelit nem kérünk.</w:t>
      </w:r>
    </w:p>
    <w:p w:rsidR="000C7F5E" w:rsidRDefault="000C7F5E" w:rsidP="00794966">
      <w:pPr>
        <w:spacing w:before="100" w:beforeAutospacing="1" w:after="100" w:afterAutospacing="1"/>
      </w:pPr>
      <w:r>
        <w:t>Az általános iskola a tanulói adatlapokat - a tanév rendjében rögzített - határidõre a választott középfokú iskolákba és a gyõri felvételi központba küldi meg. A felvételi központ - elektronikus úton - továbbítja a hozzánk jelentkezettek névsorát.</w:t>
      </w:r>
    </w:p>
    <w:p w:rsidR="000C7F5E" w:rsidRDefault="000C7F5E" w:rsidP="00794966">
      <w:pPr>
        <w:spacing w:before="100" w:beforeAutospacing="1" w:after="100" w:afterAutospacing="1"/>
      </w:pPr>
      <w:r>
        <w:t>Iskolánkban a tanulók felvételi besorolásának alapja az általános iskolát befejezõ tanuló 7. osztályos év végi és a 8. félévi osztályzatainak összege, amely a magyar nyelv és irodalom, idegen nyelv, történelem, matematika, fizika tantárgyak érdemjegyeibõl képzõdik.</w:t>
      </w:r>
    </w:p>
    <w:p w:rsidR="000C7F5E" w:rsidRDefault="000C7F5E" w:rsidP="00794966">
      <w:pPr>
        <w:spacing w:before="100" w:beforeAutospacing="1" w:after="100" w:afterAutospacing="1"/>
      </w:pPr>
      <w:r>
        <w:t>Ezen érték alapján minõsítjük a felvételre jelentkezõ tanulókat. A minõsítés alapján a tanuló helyezést jelentõ sorszámot kap a felvételi rangsorban. Ami egyúttal azt is jelenti, hogy az Iskola felvenné a tanulót, vagy tanulmányi eredménye kizárja a felvételét.</w:t>
      </w:r>
    </w:p>
    <w:p w:rsidR="000C7F5E" w:rsidRDefault="000C7F5E" w:rsidP="00794966">
      <w:pPr>
        <w:spacing w:before="100" w:beforeAutospacing="1" w:after="100" w:afterAutospacing="1"/>
      </w:pPr>
      <w:r>
        <w:t>Elkészítjük az ideiglenes felvételi jegyzéket, amelyet az iskola honlapján, illetve az iskola hirdetõ tábláján tekinthetnek meg a szülõk és a felvételre jelentkezõ tanulók.</w:t>
      </w:r>
    </w:p>
    <w:p w:rsidR="000C7F5E" w:rsidRDefault="000C7F5E" w:rsidP="00794966">
      <w:pPr>
        <w:spacing w:before="100" w:beforeAutospacing="1" w:after="100" w:afterAutospacing="1"/>
      </w:pPr>
      <w:r>
        <w:t>Az iskola igazgatója a felvételi jegyzéket (a rangsort, felvehetõk és a nem felvehetõk jegyzékét) visszaküldi a felvételi központnak.</w:t>
      </w:r>
    </w:p>
    <w:p w:rsidR="000C7F5E" w:rsidRDefault="000C7F5E" w:rsidP="00794966">
      <w:pPr>
        <w:spacing w:before="100" w:beforeAutospacing="1" w:after="100" w:afterAutospacing="1"/>
      </w:pPr>
      <w:r>
        <w:t>A gyõri központ megvizsgálja a beérkezett iskolai rangsorokat, és egyezteti a tanulók és szüleik által készített adatlapokon megjelölt jelentkezési sorrenddel (elsõ helyen melyik iskolát jelölték, az illetõ iskola felvenné-e stb.). A központ a felvehetõk névsorát elküldi Iskolánknak.</w:t>
      </w:r>
    </w:p>
    <w:p w:rsidR="000C7F5E" w:rsidRDefault="000C7F5E" w:rsidP="00794966">
      <w:pPr>
        <w:spacing w:before="100" w:beforeAutospacing="1" w:after="100" w:afterAutospacing="1"/>
      </w:pPr>
      <w:r>
        <w:t xml:space="preserve">Mi postázzuk a felvételrõl vagy az elutasításról szóló értesítést a jelentkezõknek és az általános iskoláknak, és kifüggesztjük a listát. </w:t>
      </w:r>
    </w:p>
    <w:p w:rsidR="000C7F5E" w:rsidRDefault="000C7F5E" w:rsidP="00794966">
      <w:pPr>
        <w:spacing w:before="100" w:beforeAutospacing="1" w:after="100" w:afterAutospacing="1"/>
      </w:pPr>
      <w:r>
        <w:t>Az iskolaigazgató döntése ellen 15 napon belül az Iskolánál benyújtott fellebbezéssel lehet élni.[az 1993. évi LXXIX. Törvény a közoktatásról 66.§ (1) bekezdés].</w:t>
      </w:r>
    </w:p>
    <w:p w:rsidR="000C7F5E" w:rsidRDefault="000C7F5E" w:rsidP="00794966">
      <w:pPr>
        <w:spacing w:before="100" w:beforeAutospacing="1" w:after="100" w:afterAutospacing="1"/>
        <w:ind w:right="6237"/>
      </w:pPr>
      <w:r>
        <w:t> </w:t>
      </w:r>
    </w:p>
    <w:p w:rsidR="000C7F5E" w:rsidRDefault="000C7F5E" w:rsidP="00794966">
      <w:pPr>
        <w:spacing w:before="100" w:beforeAutospacing="1" w:after="100" w:afterAutospacing="1"/>
      </w:pPr>
      <w:r>
        <w:rPr>
          <w:b/>
        </w:rPr>
        <w:t>Kiegészítõ információk:</w:t>
      </w:r>
    </w:p>
    <w:p w:rsidR="000C7F5E" w:rsidRDefault="000C7F5E" w:rsidP="00794966">
      <w:pPr>
        <w:spacing w:before="100" w:beforeAutospacing="1" w:after="100" w:afterAutospacing="1"/>
        <w:ind w:left="705" w:hanging="345"/>
      </w:pPr>
      <w:r>
        <w:t xml:space="preserve">- </w:t>
      </w:r>
      <w:r>
        <w:tab/>
        <w:t>az iskolai könyvtár gazdag szépirodalmi és szakirodalmi állománya segítséget nyújt a tanórán kívüli információszerzéshez.</w:t>
      </w:r>
    </w:p>
    <w:p w:rsidR="000C7F5E" w:rsidRDefault="000C7F5E" w:rsidP="00794966">
      <w:pPr>
        <w:spacing w:before="100" w:beforeAutospacing="1" w:after="100" w:afterAutospacing="1"/>
        <w:ind w:left="705" w:hanging="345"/>
      </w:pPr>
      <w:r>
        <w:t>-</w:t>
      </w:r>
      <w:r>
        <w:tab/>
        <w:t>korrepetálás, szakkör és sportkör segíti a tanulás eredményességét, illetve járul hozzá a tehetség kibontakozásához.</w:t>
      </w:r>
    </w:p>
    <w:p w:rsidR="000C7F5E" w:rsidRDefault="000C7F5E" w:rsidP="00794966">
      <w:pPr>
        <w:spacing w:before="100" w:beforeAutospacing="1" w:after="100" w:afterAutospacing="1"/>
        <w:ind w:left="705" w:hanging="345"/>
      </w:pPr>
      <w:r>
        <w:t>-</w:t>
      </w:r>
      <w:r>
        <w:tab/>
        <w:t xml:space="preserve">a tanórákon kívüli szabad idõ hasznos eltöltéséhez (kiállítások, múzeumok, színházi elõadások, konditerem stb.) nyújtunk segítséget.  </w:t>
      </w:r>
    </w:p>
    <w:p w:rsidR="000C7F5E" w:rsidRDefault="000C7F5E" w:rsidP="00794966">
      <w:pPr>
        <w:tabs>
          <w:tab w:val="num" w:pos="720"/>
        </w:tabs>
        <w:spacing w:before="100" w:beforeAutospacing="1" w:after="100" w:afterAutospacing="1"/>
        <w:ind w:left="720" w:hanging="360"/>
      </w:pPr>
      <w:r>
        <w:t>-</w:t>
      </w:r>
      <w:r>
        <w:rPr>
          <w:sz w:val="14"/>
          <w:szCs w:val="14"/>
        </w:rPr>
        <w:t xml:space="preserve">         </w:t>
      </w:r>
      <w:r>
        <w:t>iskolai büfében lehetõség van szendvicsek, üdítõitalok, stb. vásárlására.</w:t>
      </w:r>
    </w:p>
    <w:p w:rsidR="000C7F5E" w:rsidRDefault="000C7F5E" w:rsidP="00974F87">
      <w:pPr>
        <w:tabs>
          <w:tab w:val="num" w:pos="720"/>
        </w:tabs>
        <w:spacing w:before="100" w:beforeAutospacing="1" w:after="100" w:afterAutospacing="1"/>
        <w:ind w:left="720" w:hanging="360"/>
      </w:pPr>
      <w:r>
        <w:t>-</w:t>
      </w:r>
      <w:r>
        <w:rPr>
          <w:sz w:val="14"/>
          <w:szCs w:val="14"/>
        </w:rPr>
        <w:t xml:space="preserve">         </w:t>
      </w:r>
      <w:r>
        <w:t>az iskola autójavító szolgáltatást is nyújt a lakosság részére.</w:t>
      </w:r>
    </w:p>
    <w:tbl>
      <w:tblPr>
        <w:tblW w:w="10297" w:type="dxa"/>
        <w:tblCellMar>
          <w:left w:w="70" w:type="dxa"/>
          <w:right w:w="70" w:type="dxa"/>
        </w:tblCellMar>
        <w:tblLook w:val="00A0"/>
      </w:tblPr>
      <w:tblGrid>
        <w:gridCol w:w="620"/>
        <w:gridCol w:w="8896"/>
        <w:gridCol w:w="781"/>
      </w:tblGrid>
      <w:tr w:rsidR="000C7F5E" w:rsidTr="00794966">
        <w:trPr>
          <w:trHeight w:val="315"/>
        </w:trPr>
        <w:tc>
          <w:tcPr>
            <w:tcW w:w="620" w:type="dxa"/>
            <w:noWrap/>
            <w:vAlign w:val="center"/>
          </w:tcPr>
          <w:p w:rsidR="000C7F5E" w:rsidRDefault="000C7F5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96" w:type="dxa"/>
            <w:noWrap/>
            <w:vAlign w:val="bottom"/>
          </w:tcPr>
          <w:p w:rsidR="000C7F5E" w:rsidRDefault="000C7F5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Oktatási képzési kínálatunk a 2015-2016-os tanévre</w:t>
            </w:r>
          </w:p>
        </w:tc>
        <w:tc>
          <w:tcPr>
            <w:tcW w:w="781" w:type="dxa"/>
            <w:noWrap/>
            <w:vAlign w:val="center"/>
          </w:tcPr>
          <w:p w:rsidR="000C7F5E" w:rsidRDefault="000C7F5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C7F5E" w:rsidTr="00794966">
        <w:trPr>
          <w:trHeight w:val="375"/>
        </w:trPr>
        <w:tc>
          <w:tcPr>
            <w:tcW w:w="620" w:type="dxa"/>
            <w:noWrap/>
            <w:vAlign w:val="center"/>
          </w:tcPr>
          <w:p w:rsidR="000C7F5E" w:rsidRDefault="000C7F5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96" w:type="dxa"/>
            <w:noWrap/>
            <w:vAlign w:val="bottom"/>
          </w:tcPr>
          <w:p w:rsidR="000C7F5E" w:rsidRDefault="000C7F5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Csonka János Mûszaki Szakközépiskola és Szakiskola</w:t>
            </w:r>
          </w:p>
        </w:tc>
        <w:tc>
          <w:tcPr>
            <w:tcW w:w="781" w:type="dxa"/>
            <w:noWrap/>
            <w:vAlign w:val="center"/>
          </w:tcPr>
          <w:p w:rsidR="000C7F5E" w:rsidRDefault="000C7F5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C7F5E" w:rsidTr="00794966">
        <w:trPr>
          <w:trHeight w:val="375"/>
        </w:trPr>
        <w:tc>
          <w:tcPr>
            <w:tcW w:w="620" w:type="dxa"/>
            <w:noWrap/>
            <w:vAlign w:val="center"/>
          </w:tcPr>
          <w:p w:rsidR="000C7F5E" w:rsidRDefault="000C7F5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96" w:type="dxa"/>
            <w:noWrap/>
            <w:vAlign w:val="bottom"/>
          </w:tcPr>
          <w:p w:rsidR="000C7F5E" w:rsidRDefault="000C7F5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OM kód  035400</w:t>
            </w:r>
          </w:p>
        </w:tc>
        <w:tc>
          <w:tcPr>
            <w:tcW w:w="781" w:type="dxa"/>
            <w:noWrap/>
            <w:vAlign w:val="center"/>
          </w:tcPr>
          <w:p w:rsidR="000C7F5E" w:rsidRDefault="000C7F5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C7F5E" w:rsidTr="00794966">
        <w:trPr>
          <w:trHeight w:val="315"/>
        </w:trPr>
        <w:tc>
          <w:tcPr>
            <w:tcW w:w="620" w:type="dxa"/>
            <w:noWrap/>
            <w:vAlign w:val="center"/>
          </w:tcPr>
          <w:p w:rsidR="000C7F5E" w:rsidRDefault="000C7F5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96" w:type="dxa"/>
            <w:noWrap/>
            <w:vAlign w:val="bottom"/>
          </w:tcPr>
          <w:p w:rsidR="000C7F5E" w:rsidRDefault="000C7F5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1165 Budapest, Arany János utca 55</w:t>
            </w:r>
          </w:p>
        </w:tc>
        <w:tc>
          <w:tcPr>
            <w:tcW w:w="781" w:type="dxa"/>
            <w:noWrap/>
            <w:vAlign w:val="center"/>
          </w:tcPr>
          <w:p w:rsidR="000C7F5E" w:rsidRDefault="000C7F5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C7F5E" w:rsidTr="00794966">
        <w:trPr>
          <w:trHeight w:val="315"/>
        </w:trPr>
        <w:tc>
          <w:tcPr>
            <w:tcW w:w="620" w:type="dxa"/>
            <w:noWrap/>
            <w:vAlign w:val="center"/>
          </w:tcPr>
          <w:p w:rsidR="000C7F5E" w:rsidRDefault="000C7F5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96" w:type="dxa"/>
            <w:noWrap/>
            <w:vAlign w:val="bottom"/>
          </w:tcPr>
          <w:p w:rsidR="000C7F5E" w:rsidRDefault="000C7F5E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81" w:type="dxa"/>
            <w:noWrap/>
            <w:vAlign w:val="center"/>
          </w:tcPr>
          <w:p w:rsidR="000C7F5E" w:rsidRDefault="000C7F5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C7F5E" w:rsidTr="00794966">
        <w:trPr>
          <w:trHeight w:val="600"/>
        </w:trPr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F5E" w:rsidRDefault="000C7F5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8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C7F5E" w:rsidRDefault="000C7F5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Az oktatás-képzés megnevezése</w:t>
            </w:r>
          </w:p>
        </w:tc>
        <w:tc>
          <w:tcPr>
            <w:tcW w:w="7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C7F5E" w:rsidRDefault="000C7F5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Kódja</w:t>
            </w:r>
          </w:p>
        </w:tc>
      </w:tr>
      <w:tr w:rsidR="000C7F5E" w:rsidTr="00794966">
        <w:trPr>
          <w:trHeight w:val="642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F5E" w:rsidRDefault="000C7F5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C7F5E" w:rsidRDefault="000C7F5E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 éves szakközépiskola közlekedés gépészet szakmacsoportos alapozással  (ágazati szakképzés)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C7F5E" w:rsidRDefault="000C7F5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0C7F5E" w:rsidTr="00794966">
        <w:trPr>
          <w:trHeight w:val="642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F5E" w:rsidRDefault="000C7F5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C7F5E" w:rsidRDefault="000C7F5E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5. évfolyam autószerelõ képzéssel (1 éves, 4 éves szakközépiskolára épül, beszámítás) OKJ szám: 54 525 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C7F5E" w:rsidRDefault="000C7F5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</w:tr>
      <w:tr w:rsidR="000C7F5E" w:rsidTr="00794966">
        <w:trPr>
          <w:trHeight w:val="642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F5E" w:rsidRDefault="000C7F5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C7F5E" w:rsidRDefault="000C7F5E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Autószerelõ (érettségire épülõ 2 éves képzés) OKJ szám:  54 525 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C7F5E" w:rsidRDefault="000C7F5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</w:tr>
      <w:tr w:rsidR="000C7F5E" w:rsidTr="00794966">
        <w:trPr>
          <w:trHeight w:val="642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F5E" w:rsidRDefault="000C7F5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C7F5E" w:rsidRDefault="000C7F5E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Autóelektronikai mûszerész (érettségire épülõ 2 éves képzés)                                        OKJ szám:   54 525 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C7F5E" w:rsidRDefault="000C7F5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</w:tr>
      <w:tr w:rsidR="000C7F5E" w:rsidTr="00794966">
        <w:trPr>
          <w:trHeight w:val="642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F5E" w:rsidRDefault="000C7F5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C7F5E" w:rsidRDefault="000C7F5E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Autótechnikus (ráépülés autószerelõ és autóelektronikai mûszerész, 1 éves képzés) OKJ szám: 55 525 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C7F5E" w:rsidRDefault="000C7F5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</w:tr>
      <w:tr w:rsidR="000C7F5E" w:rsidTr="00794966">
        <w:trPr>
          <w:trHeight w:val="642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F5E" w:rsidRDefault="000C7F5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C7F5E" w:rsidRDefault="000C7F5E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 éves szakiskola ( 8 általánosra épülõ ) karosszérialakatos képzés                                    OKJ szám: 34 525 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C7F5E" w:rsidRDefault="000C7F5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0C7F5E" w:rsidTr="00794966">
        <w:trPr>
          <w:trHeight w:val="642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F5E" w:rsidRDefault="000C7F5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C7F5E" w:rsidRDefault="000C7F5E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 éves szakiskola ( 8 általánosra épülõ ) jármûkarosszéria készítõ, szerelõ képzés OKJ szám: 34 525 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C7F5E" w:rsidRDefault="000C7F5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</w:tr>
      <w:tr w:rsidR="000C7F5E" w:rsidTr="00794966">
        <w:trPr>
          <w:trHeight w:val="642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F5E" w:rsidRDefault="000C7F5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C7F5E" w:rsidRDefault="000C7F5E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 éves szakiskola ( 8 általánosra épülõ ) jármûfényezõ képzés                                               OKJ szám: 34 525 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C7F5E" w:rsidRDefault="000C7F5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</w:tr>
      <w:tr w:rsidR="000C7F5E" w:rsidTr="00794966">
        <w:trPr>
          <w:trHeight w:val="642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F5E" w:rsidRDefault="000C7F5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C7F5E" w:rsidRDefault="000C7F5E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 éves szakiskola ( 8 általánosra épülõ ) jármûkarosszéria elõkészítõ, felületbevonó képzés     OKJ szám: 34 525 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C7F5E" w:rsidRDefault="000C7F5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</w:tr>
      <w:tr w:rsidR="000C7F5E" w:rsidTr="00794966">
        <w:trPr>
          <w:trHeight w:val="642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F5E" w:rsidRDefault="000C7F5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C7F5E" w:rsidRDefault="000C7F5E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 éves szakiskola (8 általánosra épülõ autószerelõ) gépjármû mechatronikus képzés OKJ szám: 34 525 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C7F5E" w:rsidRDefault="000C7F5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</w:tr>
      <w:tr w:rsidR="000C7F5E" w:rsidTr="00794966">
        <w:trPr>
          <w:trHeight w:val="642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F5E" w:rsidRDefault="000C7F5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C7F5E" w:rsidRDefault="000C7F5E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 éves szakiskola ( 8 általánosra épülõ ) gépjármûépítõ, szerelõ képzés                                   OKJ szám: 34 525 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C7F5E" w:rsidRDefault="000C7F5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</w:tr>
      <w:tr w:rsidR="000C7F5E" w:rsidTr="00794966">
        <w:trPr>
          <w:trHeight w:val="642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F5E" w:rsidRDefault="000C7F5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C7F5E" w:rsidRDefault="000C7F5E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 éves szakiskola ( 8 általánosra épülõ ) hegesztõ képzés  (hiányszakma, ösztöndíjas) OKJ szám: 34 521 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C7F5E" w:rsidRDefault="000C7F5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</w:tr>
      <w:tr w:rsidR="000C7F5E" w:rsidTr="00794966">
        <w:trPr>
          <w:trHeight w:val="642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F5E" w:rsidRDefault="000C7F5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C7F5E" w:rsidRDefault="000C7F5E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Karosszérialakatos OKJ: 34 525 06 beszámítós FE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C7F5E" w:rsidRDefault="000C7F5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</w:tr>
      <w:tr w:rsidR="000C7F5E" w:rsidTr="00794966">
        <w:trPr>
          <w:trHeight w:val="642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F5E" w:rsidRDefault="000C7F5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C7F5E" w:rsidRDefault="000C7F5E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Szakközépiskolai felnõttoktatás (nappali és esti) 11. és 12. osztály (érettségi kimenettel)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C7F5E" w:rsidRDefault="000C7F5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</w:tr>
      <w:tr w:rsidR="000C7F5E" w:rsidTr="00794966">
        <w:trPr>
          <w:trHeight w:val="642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F5E" w:rsidRDefault="000C7F5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C7F5E" w:rsidRDefault="000C7F5E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Esti felnõtt oktatás autószerelõ képzés (2 éves, 4 éves középiskolára épül)                                OKJ szám:54 525 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C7F5E" w:rsidRDefault="000C7F5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</w:tbl>
    <w:p w:rsidR="000C7F5E" w:rsidRDefault="000C7F5E" w:rsidP="00794966">
      <w:pPr>
        <w:spacing w:before="100" w:beforeAutospacing="1" w:after="100" w:afterAutospacing="1"/>
      </w:pPr>
    </w:p>
    <w:p w:rsidR="000C7F5E" w:rsidRDefault="000C7F5E">
      <w:pPr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</w:p>
    <w:p w:rsidR="000C7F5E" w:rsidRDefault="000C7F5E" w:rsidP="005C08E1">
      <w:pPr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 w:rsidRPr="005C08E1">
        <w:rPr>
          <w:rFonts w:ascii="Tahoma" w:hAnsi="Tahoma" w:cs="Tahoma"/>
          <w:color w:val="222222"/>
          <w:sz w:val="20"/>
          <w:szCs w:val="20"/>
          <w:shd w:val="clear" w:color="auto" w:fill="FFFFFF"/>
        </w:rPr>
        <w:t>A középfokú iskolai, a kollégiumi és a Köznevelési Hídprogr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amba történő felvételi eljárás </w:t>
      </w:r>
      <w:r w:rsidRPr="005C08E1">
        <w:rPr>
          <w:rFonts w:ascii="Tahoma" w:hAnsi="Tahoma" w:cs="Tahoma"/>
          <w:color w:val="222222"/>
          <w:sz w:val="20"/>
          <w:szCs w:val="20"/>
          <w:shd w:val="clear" w:color="auto" w:fill="FFFFFF"/>
        </w:rPr>
        <w:t>l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ebonyolításának ütemezése a 2015/2016. tanévre: </w:t>
      </w:r>
    </w:p>
    <w:p w:rsidR="000C7F5E" w:rsidRDefault="000C7F5E">
      <w:pPr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 w:rsidRPr="005C08E1">
        <w:rPr>
          <w:rFonts w:ascii="Tahoma" w:hAnsi="Tahoma" w:cs="Tahoma"/>
          <w:color w:val="222222"/>
          <w:sz w:val="20"/>
          <w:szCs w:val="20"/>
          <w:shd w:val="clear" w:color="auto" w:fill="FFFFFF"/>
        </w:rPr>
        <w:t>http://www.oktatas.hu/pub_bin/dload/kozoktatas/beiskolazas/35_2014_EMMI_rendelet_2sz_melleklet.pdf</w:t>
      </w:r>
    </w:p>
    <w:p w:rsidR="000C7F5E" w:rsidRDefault="000C7F5E">
      <w:pPr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Jelentkezési lap letöltése: </w:t>
      </w:r>
    </w:p>
    <w:p w:rsidR="000C7F5E" w:rsidRDefault="000C7F5E">
      <w:pPr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 w:rsidRPr="005C08E1">
        <w:rPr>
          <w:rFonts w:ascii="Tahoma" w:hAnsi="Tahoma" w:cs="Tahoma"/>
          <w:color w:val="222222"/>
          <w:sz w:val="20"/>
          <w:szCs w:val="20"/>
          <w:shd w:val="clear" w:color="auto" w:fill="FFFFFF"/>
        </w:rPr>
        <w:t>http://felvizsga.shp.hu/hpc/web.php?a=felvizsga&amp;o=jelentkezesi_lapok_adatlapok_letoltese_x7mh</w:t>
      </w:r>
    </w:p>
    <w:p w:rsidR="000C7F5E" w:rsidRDefault="000C7F5E">
      <w:pPr>
        <w:rPr>
          <w:rFonts w:ascii="Tahoma" w:hAnsi="Tahoma" w:cs="Tahoma"/>
          <w:color w:val="222222"/>
          <w:sz w:val="20"/>
          <w:szCs w:val="20"/>
          <w:shd w:val="clear" w:color="auto" w:fill="FFFFFF"/>
        </w:rPr>
        <w:sectPr w:rsidR="000C7F5E" w:rsidSect="006F0F8C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C7F5E" w:rsidRDefault="000C7F5E">
      <w:pPr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</w:p>
    <w:p w:rsidR="000C7F5E" w:rsidRDefault="000C7F5E" w:rsidP="00B159D4">
      <w:pPr>
        <w:pStyle w:val="Norma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Tahoma" w:hAnsi="Tahoma" w:cs="Tahoma"/>
          <w:color w:val="222222"/>
        </w:rPr>
      </w:pPr>
      <w:r>
        <w:rPr>
          <w:rFonts w:ascii="Tahoma" w:hAnsi="Tahoma" w:cs="Tahoma"/>
          <w:b/>
          <w:bCs/>
          <w:color w:val="222222"/>
        </w:rPr>
        <w:t>229/2012. (VIII. 28.) Korm. rendelet</w:t>
      </w:r>
    </w:p>
    <w:p w:rsidR="000C7F5E" w:rsidRDefault="000C7F5E" w:rsidP="00B159D4">
      <w:pPr>
        <w:pStyle w:val="Norma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Tahoma" w:hAnsi="Tahoma" w:cs="Tahoma"/>
          <w:color w:val="222222"/>
        </w:rPr>
      </w:pPr>
      <w:r>
        <w:rPr>
          <w:rFonts w:ascii="Tahoma" w:hAnsi="Tahoma" w:cs="Tahoma"/>
          <w:b/>
          <w:bCs/>
          <w:color w:val="222222"/>
        </w:rPr>
        <w:t>a nemzeti köznevelésről szóló törvény végrehajtásáról</w:t>
      </w:r>
    </w:p>
    <w:p w:rsidR="000C7F5E" w:rsidRPr="00B159D4" w:rsidRDefault="000C7F5E" w:rsidP="00B159D4">
      <w:pPr>
        <w:pStyle w:val="NormalWeb"/>
        <w:shd w:val="clear" w:color="auto" w:fill="FFFFFF"/>
        <w:spacing w:before="300" w:beforeAutospacing="0" w:after="300" w:afterAutospacing="0"/>
        <w:ind w:right="150"/>
        <w:jc w:val="center"/>
        <w:rPr>
          <w:rFonts w:ascii="Tahoma" w:hAnsi="Tahoma" w:cs="Tahoma"/>
          <w:color w:val="222222"/>
          <w:sz w:val="20"/>
          <w:szCs w:val="20"/>
        </w:rPr>
      </w:pPr>
      <w:r w:rsidRPr="00B159D4">
        <w:rPr>
          <w:rFonts w:ascii="Tahoma" w:hAnsi="Tahoma" w:cs="Tahoma"/>
          <w:bCs/>
          <w:color w:val="222222"/>
          <w:sz w:val="20"/>
          <w:szCs w:val="20"/>
        </w:rPr>
        <w:t>10. A tájékoztató rendszer és a köznevelési intézmények közzétételi listája</w:t>
      </w:r>
    </w:p>
    <w:p w:rsidR="000C7F5E" w:rsidRDefault="000C7F5E" w:rsidP="00B159D4">
      <w:r w:rsidRPr="00B159D4">
        <w:t>23. § (1)</w:t>
      </w:r>
    </w:p>
    <w:p w:rsidR="000C7F5E" w:rsidRPr="00E74787" w:rsidRDefault="000C7F5E" w:rsidP="00A7434E">
      <w:pPr>
        <w:pStyle w:val="Heading1"/>
        <w:rPr>
          <w:shd w:val="clear" w:color="auto" w:fill="FFFFFF"/>
        </w:rPr>
      </w:pPr>
      <w:bookmarkStart w:id="8" w:name="_Toc408144458"/>
      <w:bookmarkStart w:id="9" w:name="b"/>
      <w:r w:rsidRPr="00E74787">
        <w:rPr>
          <w:i/>
          <w:iCs/>
          <w:shd w:val="clear" w:color="auto" w:fill="FFFFFF"/>
        </w:rPr>
        <w:t>b) </w:t>
      </w:r>
      <w:r w:rsidRPr="00E74787">
        <w:rPr>
          <w:shd w:val="clear" w:color="auto" w:fill="FFFFFF"/>
        </w:rPr>
        <w:t>a beiratkozásra meghatározott idő, a fenntartó által engedélyezett osztályok, csoportok száma</w:t>
      </w:r>
      <w:bookmarkEnd w:id="8"/>
    </w:p>
    <w:bookmarkEnd w:id="9"/>
    <w:p w:rsidR="000C7F5E" w:rsidRPr="00E74787" w:rsidRDefault="000C7F5E">
      <w:pPr>
        <w:rPr>
          <w:rFonts w:cs="Calibri"/>
          <w:sz w:val="20"/>
          <w:szCs w:val="20"/>
        </w:rPr>
      </w:pPr>
      <w:r w:rsidRPr="00E74787">
        <w:rPr>
          <w:rFonts w:cs="Calibri"/>
          <w:sz w:val="20"/>
          <w:szCs w:val="20"/>
        </w:rPr>
        <w:t>2015. június 24. (Szerda) 08.00 Beiratkozás a középfokú iskolába és a Köznevelési Hídprogramba</w:t>
      </w:r>
    </w:p>
    <w:p w:rsidR="000C7F5E" w:rsidRPr="00E74787" w:rsidRDefault="000C7F5E">
      <w:pPr>
        <w:rPr>
          <w:rFonts w:cs="Calibri"/>
          <w:sz w:val="20"/>
          <w:szCs w:val="20"/>
        </w:rPr>
      </w:pPr>
      <w:r w:rsidRPr="00E74787">
        <w:rPr>
          <w:rFonts w:cs="Calibri"/>
          <w:sz w:val="20"/>
          <w:szCs w:val="20"/>
        </w:rPr>
        <w:t>2015. augusztus 12. Felnőttek érettségire felkészítő esti munkarendű tagozatára</w:t>
      </w:r>
    </w:p>
    <w:p w:rsidR="000C7F5E" w:rsidRDefault="000C7F5E" w:rsidP="00FA21D5">
      <w:pPr>
        <w:rPr>
          <w:rFonts w:cs="Calibri"/>
          <w:sz w:val="20"/>
          <w:szCs w:val="20"/>
        </w:rPr>
      </w:pPr>
      <w:r w:rsidRPr="00E74787">
        <w:rPr>
          <w:rFonts w:cs="Calibri"/>
          <w:sz w:val="20"/>
          <w:szCs w:val="20"/>
        </w:rPr>
        <w:t>2015. augusztus 25. (Kedd) 10.00 Pótbeiratkozás</w:t>
      </w:r>
    </w:p>
    <w:tbl>
      <w:tblPr>
        <w:tblW w:w="7586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618"/>
        <w:gridCol w:w="1097"/>
        <w:gridCol w:w="895"/>
        <w:gridCol w:w="774"/>
        <w:gridCol w:w="929"/>
        <w:gridCol w:w="962"/>
        <w:gridCol w:w="1362"/>
        <w:gridCol w:w="1830"/>
      </w:tblGrid>
      <w:tr w:rsidR="000C7F5E" w:rsidRPr="00677AE1" w:rsidTr="00677AE1">
        <w:trPr>
          <w:trHeight w:val="765"/>
          <w:jc w:val="center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0C7F5E" w:rsidRPr="00677AE1" w:rsidRDefault="000C7F5E" w:rsidP="00677AE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677AE1">
              <w:rPr>
                <w:rFonts w:ascii="Arial" w:hAnsi="Arial"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C7F5E" w:rsidRPr="00677AE1" w:rsidRDefault="000C7F5E" w:rsidP="00677AE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677AE1">
              <w:rPr>
                <w:rFonts w:ascii="Arial" w:hAnsi="Arial"/>
                <w:sz w:val="20"/>
                <w:szCs w:val="20"/>
                <w:lang w:eastAsia="hu-HU"/>
              </w:rPr>
              <w:t>Iskolatípus (szki/szi)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C7F5E" w:rsidRPr="00677AE1" w:rsidRDefault="000C7F5E" w:rsidP="00677A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77AE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Tervezett létszám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C7F5E" w:rsidRPr="00677AE1" w:rsidRDefault="000C7F5E" w:rsidP="00677A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77AE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 xml:space="preserve">Munka-rend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C7F5E" w:rsidRPr="00677AE1" w:rsidRDefault="000C7F5E" w:rsidP="00677A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77AE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Be-iskolázási évfolyam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C7F5E" w:rsidRPr="00677AE1" w:rsidRDefault="000C7F5E" w:rsidP="00677A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77AE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Tényleges képzési idő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C7F5E" w:rsidRPr="00677AE1" w:rsidRDefault="000C7F5E" w:rsidP="00677A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77AE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Szakmacsoport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0C7F5E" w:rsidRPr="00677AE1" w:rsidRDefault="000C7F5E" w:rsidP="00677A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77AE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Ágazat</w:t>
            </w:r>
          </w:p>
        </w:tc>
      </w:tr>
      <w:tr w:rsidR="000C7F5E" w:rsidRPr="00677AE1" w:rsidTr="00677AE1">
        <w:trPr>
          <w:trHeight w:val="840"/>
          <w:jc w:val="center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677AE1" w:rsidRDefault="000C7F5E" w:rsidP="00677AE1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hu-HU"/>
              </w:rPr>
            </w:pPr>
            <w:r w:rsidRPr="00677AE1">
              <w:rPr>
                <w:rFonts w:ascii="Arial" w:hAnsi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677AE1" w:rsidRDefault="000C7F5E" w:rsidP="00677AE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677AE1">
              <w:rPr>
                <w:rFonts w:ascii="Arial" w:hAnsi="Arial"/>
                <w:sz w:val="20"/>
                <w:szCs w:val="20"/>
                <w:lang w:eastAsia="hu-HU"/>
              </w:rPr>
              <w:t>szki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677AE1" w:rsidRDefault="000C7F5E" w:rsidP="00677AE1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hu-HU"/>
              </w:rPr>
            </w:pPr>
            <w:r w:rsidRPr="00677AE1">
              <w:rPr>
                <w:rFonts w:ascii="Arial" w:hAnsi="Arial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677AE1" w:rsidRDefault="000C7F5E" w:rsidP="00677AE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677AE1">
              <w:rPr>
                <w:rFonts w:ascii="Arial" w:hAnsi="Arial"/>
                <w:sz w:val="20"/>
                <w:szCs w:val="20"/>
                <w:lang w:eastAsia="hu-HU"/>
              </w:rPr>
              <w:t>NR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677AE1" w:rsidRDefault="000C7F5E" w:rsidP="00677AE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677AE1">
              <w:rPr>
                <w:rFonts w:ascii="Arial" w:hAnsi="Arial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677AE1" w:rsidRDefault="000C7F5E" w:rsidP="00677AE1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hu-HU"/>
              </w:rPr>
            </w:pPr>
            <w:r w:rsidRPr="00677AE1">
              <w:rPr>
                <w:rFonts w:ascii="Arial" w:hAnsi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F5E" w:rsidRPr="00677AE1" w:rsidRDefault="000C7F5E" w:rsidP="00677AE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677AE1">
              <w:rPr>
                <w:rFonts w:ascii="Arial" w:hAnsi="Arial"/>
                <w:sz w:val="20"/>
                <w:szCs w:val="20"/>
                <w:lang w:eastAsia="hu-HU"/>
              </w:rPr>
              <w:t>13. Közleke - dés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0C7F5E" w:rsidRPr="00677AE1" w:rsidRDefault="000C7F5E" w:rsidP="00677AE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677AE1">
              <w:rPr>
                <w:rFonts w:ascii="Arial" w:hAnsi="Arial"/>
                <w:sz w:val="20"/>
                <w:szCs w:val="20"/>
                <w:lang w:eastAsia="hu-HU"/>
              </w:rPr>
              <w:t>XXII.Közlekedésgé - pész</w:t>
            </w:r>
          </w:p>
        </w:tc>
      </w:tr>
      <w:tr w:rsidR="000C7F5E" w:rsidRPr="00677AE1" w:rsidTr="00677AE1">
        <w:trPr>
          <w:trHeight w:val="810"/>
          <w:jc w:val="center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677AE1" w:rsidRDefault="000C7F5E" w:rsidP="00677AE1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hu-HU"/>
              </w:rPr>
            </w:pPr>
            <w:r w:rsidRPr="00677AE1">
              <w:rPr>
                <w:rFonts w:ascii="Arial" w:hAnsi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677AE1" w:rsidRDefault="000C7F5E" w:rsidP="00677AE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677AE1">
              <w:rPr>
                <w:rFonts w:ascii="Arial" w:hAnsi="Arial"/>
                <w:sz w:val="20"/>
                <w:szCs w:val="20"/>
                <w:lang w:eastAsia="hu-HU"/>
              </w:rPr>
              <w:t>szki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677AE1" w:rsidRDefault="000C7F5E" w:rsidP="00677AE1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hu-HU"/>
              </w:rPr>
            </w:pPr>
            <w:r w:rsidRPr="00677AE1">
              <w:rPr>
                <w:rFonts w:ascii="Arial" w:hAnsi="Arial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677AE1" w:rsidRDefault="000C7F5E" w:rsidP="00677AE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677AE1">
              <w:rPr>
                <w:rFonts w:ascii="Arial" w:hAnsi="Arial"/>
                <w:sz w:val="20"/>
                <w:szCs w:val="20"/>
                <w:lang w:eastAsia="hu-HU"/>
              </w:rPr>
              <w:t>NR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677AE1" w:rsidRDefault="000C7F5E" w:rsidP="00677AE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677AE1">
              <w:rPr>
                <w:rFonts w:ascii="Arial" w:hAnsi="Arial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677AE1" w:rsidRDefault="000C7F5E" w:rsidP="00677AE1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hu-HU"/>
              </w:rPr>
            </w:pPr>
            <w:r w:rsidRPr="00677AE1">
              <w:rPr>
                <w:rFonts w:ascii="Arial" w:hAnsi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F5E" w:rsidRPr="00677AE1" w:rsidRDefault="000C7F5E" w:rsidP="00677AE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677AE1">
              <w:rPr>
                <w:rFonts w:ascii="Arial" w:hAnsi="Arial"/>
                <w:sz w:val="20"/>
                <w:szCs w:val="20"/>
                <w:lang w:eastAsia="hu-HU"/>
              </w:rPr>
              <w:t>13. Közleke - dés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0C7F5E" w:rsidRPr="00677AE1" w:rsidRDefault="000C7F5E" w:rsidP="00677AE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677AE1">
              <w:rPr>
                <w:rFonts w:ascii="Arial" w:hAnsi="Arial"/>
                <w:sz w:val="20"/>
                <w:szCs w:val="20"/>
                <w:lang w:eastAsia="hu-HU"/>
              </w:rPr>
              <w:t>XXII.Közlekedésgé - pész</w:t>
            </w:r>
          </w:p>
        </w:tc>
      </w:tr>
      <w:tr w:rsidR="000C7F5E" w:rsidRPr="00677AE1" w:rsidTr="00677AE1">
        <w:trPr>
          <w:trHeight w:val="255"/>
          <w:jc w:val="center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677AE1" w:rsidRDefault="000C7F5E" w:rsidP="00677AE1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hu-HU"/>
              </w:rPr>
            </w:pPr>
            <w:r w:rsidRPr="00677AE1">
              <w:rPr>
                <w:rFonts w:ascii="Arial" w:hAnsi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677AE1" w:rsidRDefault="000C7F5E" w:rsidP="00677AE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677AE1">
              <w:rPr>
                <w:rFonts w:ascii="Arial" w:hAnsi="Arial"/>
                <w:sz w:val="20"/>
                <w:szCs w:val="20"/>
                <w:lang w:eastAsia="hu-HU"/>
              </w:rPr>
              <w:t>szki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677AE1" w:rsidRDefault="000C7F5E" w:rsidP="00677AE1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hu-HU"/>
              </w:rPr>
            </w:pPr>
            <w:r w:rsidRPr="00677AE1">
              <w:rPr>
                <w:rFonts w:ascii="Arial" w:hAnsi="Arial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677AE1" w:rsidRDefault="000C7F5E" w:rsidP="00677AE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677AE1">
              <w:rPr>
                <w:rFonts w:ascii="Arial" w:hAnsi="Arial"/>
                <w:sz w:val="20"/>
                <w:szCs w:val="20"/>
                <w:lang w:eastAsia="hu-HU"/>
              </w:rPr>
              <w:t>FE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677AE1" w:rsidRDefault="000C7F5E" w:rsidP="00677AE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677AE1">
              <w:rPr>
                <w:rFonts w:ascii="Arial" w:hAnsi="Arial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677AE1" w:rsidRDefault="000C7F5E" w:rsidP="00677AE1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hu-HU"/>
              </w:rPr>
            </w:pPr>
            <w:r w:rsidRPr="00677AE1">
              <w:rPr>
                <w:rFonts w:ascii="Arial" w:hAnsi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677AE1" w:rsidRDefault="000C7F5E" w:rsidP="00677AE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677AE1">
              <w:rPr>
                <w:rFonts w:ascii="Arial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C7F5E" w:rsidRPr="00677AE1" w:rsidRDefault="000C7F5E" w:rsidP="00677AE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677AE1">
              <w:rPr>
                <w:rFonts w:ascii="Arial" w:hAnsi="Arial"/>
                <w:sz w:val="20"/>
                <w:szCs w:val="20"/>
                <w:lang w:eastAsia="hu-HU"/>
              </w:rPr>
              <w:t> </w:t>
            </w:r>
          </w:p>
        </w:tc>
      </w:tr>
      <w:tr w:rsidR="000C7F5E" w:rsidRPr="00677AE1" w:rsidTr="00677AE1">
        <w:trPr>
          <w:trHeight w:val="780"/>
          <w:jc w:val="center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C7F5E" w:rsidRPr="00677AE1" w:rsidRDefault="000C7F5E" w:rsidP="00677AE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677AE1">
              <w:rPr>
                <w:rFonts w:ascii="Arial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C7F5E" w:rsidRPr="00677AE1" w:rsidRDefault="000C7F5E" w:rsidP="00677AE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677AE1">
              <w:rPr>
                <w:rFonts w:ascii="Arial" w:hAnsi="Arial"/>
                <w:sz w:val="20"/>
                <w:szCs w:val="20"/>
                <w:lang w:eastAsia="hu-HU"/>
              </w:rPr>
              <w:t>szki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C7F5E" w:rsidRPr="00677AE1" w:rsidRDefault="000C7F5E" w:rsidP="00677AE1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hu-HU"/>
              </w:rPr>
            </w:pPr>
            <w:r w:rsidRPr="00677AE1">
              <w:rPr>
                <w:rFonts w:ascii="Arial" w:hAnsi="Arial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C7F5E" w:rsidRPr="00677AE1" w:rsidRDefault="000C7F5E" w:rsidP="00677AE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677AE1">
              <w:rPr>
                <w:rFonts w:ascii="Arial" w:hAnsi="Arial"/>
                <w:sz w:val="20"/>
                <w:szCs w:val="20"/>
                <w:lang w:eastAsia="hu-HU"/>
              </w:rPr>
              <w:t>NR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C7F5E" w:rsidRPr="00677AE1" w:rsidRDefault="000C7F5E" w:rsidP="00677AE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677AE1">
              <w:rPr>
                <w:rFonts w:ascii="Arial" w:hAnsi="Arial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C7F5E" w:rsidRPr="00677AE1" w:rsidRDefault="000C7F5E" w:rsidP="00677AE1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hu-HU"/>
              </w:rPr>
            </w:pPr>
            <w:r w:rsidRPr="00677AE1">
              <w:rPr>
                <w:rFonts w:ascii="Arial" w:hAnsi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C7F5E" w:rsidRPr="00677AE1" w:rsidRDefault="000C7F5E" w:rsidP="00677AE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677AE1">
              <w:rPr>
                <w:rFonts w:ascii="Arial" w:hAnsi="Arial"/>
                <w:sz w:val="20"/>
                <w:szCs w:val="20"/>
                <w:lang w:eastAsia="hu-HU"/>
              </w:rPr>
              <w:t>13. Közleke - dés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0C7F5E" w:rsidRPr="00677AE1" w:rsidRDefault="000C7F5E" w:rsidP="00677AE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677AE1">
              <w:rPr>
                <w:rFonts w:ascii="Arial" w:hAnsi="Arial"/>
                <w:sz w:val="20"/>
                <w:szCs w:val="20"/>
                <w:lang w:eastAsia="hu-HU"/>
              </w:rPr>
              <w:t>XXII.Közlekedésgé - pész</w:t>
            </w:r>
          </w:p>
        </w:tc>
      </w:tr>
    </w:tbl>
    <w:p w:rsidR="000C7F5E" w:rsidRDefault="000C7F5E" w:rsidP="00FA21D5">
      <w:pPr>
        <w:rPr>
          <w:rFonts w:cs="Calibri"/>
          <w:sz w:val="20"/>
          <w:szCs w:val="20"/>
        </w:rPr>
      </w:pPr>
    </w:p>
    <w:p w:rsidR="000C7F5E" w:rsidRDefault="000C7F5E" w:rsidP="00FA21D5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</w:p>
    <w:tbl>
      <w:tblPr>
        <w:tblW w:w="14087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5"/>
        <w:gridCol w:w="614"/>
        <w:gridCol w:w="918"/>
        <w:gridCol w:w="751"/>
        <w:gridCol w:w="774"/>
        <w:gridCol w:w="929"/>
        <w:gridCol w:w="996"/>
        <w:gridCol w:w="962"/>
        <w:gridCol w:w="793"/>
        <w:gridCol w:w="840"/>
        <w:gridCol w:w="1104"/>
        <w:gridCol w:w="1830"/>
        <w:gridCol w:w="1362"/>
        <w:gridCol w:w="2253"/>
      </w:tblGrid>
      <w:tr w:rsidR="000C7F5E" w:rsidRPr="000056AA" w:rsidTr="00C04857">
        <w:trPr>
          <w:trHeight w:val="1290"/>
          <w:jc w:val="center"/>
        </w:trPr>
        <w:tc>
          <w:tcPr>
            <w:tcW w:w="61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Iskola - típus (szki/szi)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056AA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Terve-zett létszám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056AA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 xml:space="preserve">Munka-rend 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056AA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Be-iskolázási évfolyam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056AA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 xml:space="preserve">Beszámí tás/Ráépü-lés 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056AA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Tényleges képzési idő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056AA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OKJ szerinti képzési idő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056AA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OKJ (régi/Új)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056AA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OKJ azonosító-ja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056AA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OKJ megnevezé-se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056AA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Szakmacsoport</w:t>
            </w:r>
          </w:p>
        </w:tc>
        <w:tc>
          <w:tcPr>
            <w:tcW w:w="2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056AA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Ágazat</w:t>
            </w:r>
          </w:p>
        </w:tc>
      </w:tr>
      <w:tr w:rsidR="000C7F5E" w:rsidRPr="000056AA" w:rsidTr="00C04857">
        <w:trPr>
          <w:trHeight w:val="510"/>
          <w:jc w:val="center"/>
        </w:trPr>
        <w:tc>
          <w:tcPr>
            <w:tcW w:w="6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szi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NR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1/9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Új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34 525 03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Járműfényező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13. Közlekedés</w:t>
            </w:r>
          </w:p>
        </w:tc>
        <w:tc>
          <w:tcPr>
            <w:tcW w:w="2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XXII.Közlekedésgépész</w:t>
            </w:r>
          </w:p>
        </w:tc>
      </w:tr>
      <w:tr w:rsidR="000C7F5E" w:rsidRPr="000056AA" w:rsidTr="00C04857">
        <w:trPr>
          <w:trHeight w:val="510"/>
          <w:jc w:val="center"/>
        </w:trPr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szi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NR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1/9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Új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34 525 06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Karosszérialakatos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13. Közlekedés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XXII.Közlekedésgépész</w:t>
            </w:r>
          </w:p>
        </w:tc>
      </w:tr>
      <w:tr w:rsidR="000C7F5E" w:rsidRPr="000056AA" w:rsidTr="00C04857">
        <w:trPr>
          <w:trHeight w:val="510"/>
          <w:jc w:val="center"/>
        </w:trPr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szi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NR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1/9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Új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34 525 02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Gépjármű Mechatronikus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13. Közlekedés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XXII.Közlekedésgépész</w:t>
            </w:r>
          </w:p>
        </w:tc>
      </w:tr>
      <w:tr w:rsidR="000C7F5E" w:rsidRPr="000056AA" w:rsidTr="00C04857">
        <w:trPr>
          <w:gridBefore w:val="1"/>
          <w:trHeight w:val="510"/>
          <w:jc w:val="center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szi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NR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1/9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Új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34 525 05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Járműkarosszéria készítő, szerelő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13. Közlekedés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XXII.Közlekedésgépész</w:t>
            </w:r>
          </w:p>
        </w:tc>
      </w:tr>
      <w:tr w:rsidR="000C7F5E" w:rsidRPr="000056AA" w:rsidTr="00C04857">
        <w:trPr>
          <w:gridBefore w:val="1"/>
          <w:trHeight w:val="765"/>
          <w:jc w:val="center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szi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NR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1/9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Új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34 525 04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Járműkarosszéria előkészítő, felületbevonó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13. Közlekedés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XXII.Közlekedésgépész</w:t>
            </w:r>
          </w:p>
        </w:tc>
      </w:tr>
      <w:tr w:rsidR="000C7F5E" w:rsidRPr="000056AA" w:rsidTr="00C04857">
        <w:trPr>
          <w:gridBefore w:val="1"/>
          <w:trHeight w:val="510"/>
          <w:jc w:val="center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szi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NR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1/9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Új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34 525 01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Gépjárműépítő, szerelő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13. Közlekedés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XXII.Közlekedésgépész</w:t>
            </w:r>
          </w:p>
        </w:tc>
      </w:tr>
      <w:tr w:rsidR="000C7F5E" w:rsidRPr="000056AA" w:rsidTr="00C04857">
        <w:trPr>
          <w:gridBefore w:val="1"/>
          <w:trHeight w:val="255"/>
          <w:jc w:val="center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szi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NR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1/9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Új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34 521 06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Hegesztő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5. Gépészet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IX. Gépészet</w:t>
            </w:r>
          </w:p>
        </w:tc>
      </w:tr>
      <w:tr w:rsidR="000C7F5E" w:rsidRPr="000056AA" w:rsidTr="00C04857">
        <w:trPr>
          <w:gridBefore w:val="1"/>
          <w:trHeight w:val="510"/>
          <w:jc w:val="center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szki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NR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5/13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Új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54 525 02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Autószerelő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13. Közlekedés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XXII.Közlekedésgépész</w:t>
            </w:r>
          </w:p>
        </w:tc>
      </w:tr>
      <w:tr w:rsidR="000C7F5E" w:rsidRPr="000056AA" w:rsidTr="00C04857">
        <w:trPr>
          <w:gridBefore w:val="1"/>
          <w:trHeight w:val="510"/>
          <w:jc w:val="center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szki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NR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1/15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Új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55 525 01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Autótechnikus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13. Közlekedés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XXII.Közlekedésgépész</w:t>
            </w:r>
          </w:p>
        </w:tc>
      </w:tr>
      <w:tr w:rsidR="000C7F5E" w:rsidRPr="000056AA" w:rsidTr="00C04857">
        <w:trPr>
          <w:gridBefore w:val="1"/>
          <w:trHeight w:val="510"/>
          <w:jc w:val="center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szki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NR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1/13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Új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54 525 02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Autószerelő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13. Közlekedés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XXII.Közlekedésgépész</w:t>
            </w:r>
          </w:p>
        </w:tc>
      </w:tr>
      <w:tr w:rsidR="000C7F5E" w:rsidRPr="000056AA" w:rsidTr="00C04857">
        <w:trPr>
          <w:gridBefore w:val="1"/>
          <w:trHeight w:val="510"/>
          <w:jc w:val="center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szki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NR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1/13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Új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54 525 01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Autóelektronikai műszerész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13. Közlekedés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XXII.Közlekedésgépész</w:t>
            </w:r>
          </w:p>
        </w:tc>
      </w:tr>
      <w:tr w:rsidR="000C7F5E" w:rsidRPr="000056AA" w:rsidTr="00C04857">
        <w:trPr>
          <w:gridBefore w:val="1"/>
          <w:trHeight w:val="525"/>
          <w:jc w:val="center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szi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FE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2/10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Új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34 525 06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Karosszérialakatos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13. Közlekedés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F5E" w:rsidRPr="000056AA" w:rsidRDefault="000C7F5E" w:rsidP="000056A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0056AA">
              <w:rPr>
                <w:rFonts w:ascii="Arial" w:hAnsi="Arial"/>
                <w:sz w:val="20"/>
                <w:szCs w:val="20"/>
                <w:lang w:eastAsia="hu-HU"/>
              </w:rPr>
              <w:t>XXII.Közlekedésgépész</w:t>
            </w:r>
          </w:p>
        </w:tc>
      </w:tr>
    </w:tbl>
    <w:p w:rsidR="000C7F5E" w:rsidRDefault="000C7F5E" w:rsidP="00FA21D5">
      <w:pPr>
        <w:rPr>
          <w:rFonts w:cs="Calibri"/>
          <w:sz w:val="20"/>
          <w:szCs w:val="20"/>
        </w:rPr>
      </w:pPr>
    </w:p>
    <w:p w:rsidR="000C7F5E" w:rsidRDefault="000C7F5E" w:rsidP="00FA21D5">
      <w:pPr>
        <w:rPr>
          <w:rFonts w:cs="Calibri"/>
          <w:sz w:val="20"/>
          <w:szCs w:val="20"/>
        </w:rPr>
      </w:pPr>
    </w:p>
    <w:p w:rsidR="000C7F5E" w:rsidRDefault="000C7F5E">
      <w:pPr>
        <w:rPr>
          <w:rFonts w:cs="Calibri"/>
          <w:sz w:val="20"/>
          <w:szCs w:val="20"/>
        </w:rPr>
        <w:sectPr w:rsidR="000C7F5E" w:rsidSect="00764AB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C7F5E" w:rsidRDefault="000C7F5E">
      <w:pPr>
        <w:rPr>
          <w:rFonts w:cs="Calibri"/>
          <w:sz w:val="20"/>
          <w:szCs w:val="20"/>
        </w:rPr>
      </w:pPr>
    </w:p>
    <w:p w:rsidR="000C7F5E" w:rsidRDefault="000C7F5E" w:rsidP="003448CD">
      <w:pPr>
        <w:pStyle w:val="Norma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Tahoma" w:hAnsi="Tahoma" w:cs="Tahoma"/>
          <w:color w:val="222222"/>
        </w:rPr>
      </w:pPr>
      <w:r>
        <w:rPr>
          <w:rFonts w:ascii="Tahoma" w:hAnsi="Tahoma" w:cs="Tahoma"/>
          <w:b/>
          <w:bCs/>
          <w:color w:val="222222"/>
        </w:rPr>
        <w:t>229/2012. (VIII. 28.) Korm. rendelet</w:t>
      </w:r>
    </w:p>
    <w:p w:rsidR="000C7F5E" w:rsidRDefault="000C7F5E" w:rsidP="003448CD">
      <w:pPr>
        <w:pStyle w:val="Norma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Tahoma" w:hAnsi="Tahoma" w:cs="Tahoma"/>
          <w:color w:val="222222"/>
        </w:rPr>
      </w:pPr>
      <w:r>
        <w:rPr>
          <w:rFonts w:ascii="Tahoma" w:hAnsi="Tahoma" w:cs="Tahoma"/>
          <w:b/>
          <w:bCs/>
          <w:color w:val="222222"/>
        </w:rPr>
        <w:t>a nemzeti köznevelésről szóló törvény végrehajtásáról</w:t>
      </w:r>
    </w:p>
    <w:p w:rsidR="000C7F5E" w:rsidRPr="00B159D4" w:rsidRDefault="000C7F5E" w:rsidP="003448CD">
      <w:pPr>
        <w:pStyle w:val="NormalWeb"/>
        <w:shd w:val="clear" w:color="auto" w:fill="FFFFFF"/>
        <w:spacing w:before="300" w:beforeAutospacing="0" w:after="300" w:afterAutospacing="0"/>
        <w:ind w:right="150"/>
        <w:jc w:val="center"/>
        <w:rPr>
          <w:rFonts w:ascii="Tahoma" w:hAnsi="Tahoma" w:cs="Tahoma"/>
          <w:color w:val="222222"/>
          <w:sz w:val="20"/>
          <w:szCs w:val="20"/>
        </w:rPr>
      </w:pPr>
      <w:r w:rsidRPr="00B159D4">
        <w:rPr>
          <w:rFonts w:ascii="Tahoma" w:hAnsi="Tahoma" w:cs="Tahoma"/>
          <w:bCs/>
          <w:color w:val="222222"/>
          <w:sz w:val="20"/>
          <w:szCs w:val="20"/>
        </w:rPr>
        <w:t>10. A tájékoztató rendszer és a köznevelési intézmények közzétételi listája</w:t>
      </w:r>
    </w:p>
    <w:p w:rsidR="000C7F5E" w:rsidRDefault="000C7F5E" w:rsidP="003448CD">
      <w:r w:rsidRPr="00B159D4">
        <w:t>23. § (1)</w:t>
      </w:r>
    </w:p>
    <w:p w:rsidR="000C7F5E" w:rsidRDefault="000C7F5E" w:rsidP="00A7434E">
      <w:pPr>
        <w:pStyle w:val="Heading1"/>
        <w:rPr>
          <w:shd w:val="clear" w:color="auto" w:fill="FFFFFF"/>
        </w:rPr>
      </w:pPr>
      <w:bookmarkStart w:id="10" w:name="_Toc408144459"/>
      <w:r w:rsidRPr="003448CD">
        <w:rPr>
          <w:i/>
          <w:iCs/>
          <w:shd w:val="clear" w:color="auto" w:fill="FFFFFF"/>
        </w:rPr>
        <w:t>c) </w:t>
      </w:r>
      <w:r w:rsidRPr="003448CD">
        <w:rPr>
          <w:shd w:val="clear" w:color="auto" w:fill="FFFFFF"/>
        </w:rPr>
        <w:t>köznevelési feladatot ellátó intézményegységenként a térítési díj, a tandíj, egyéb díjfizetési kötelezettség</w:t>
      </w:r>
      <w:bookmarkEnd w:id="10"/>
    </w:p>
    <w:p w:rsidR="000C7F5E" w:rsidRPr="0052610A" w:rsidRDefault="000C7F5E" w:rsidP="0052610A">
      <w:pPr>
        <w:jc w:val="center"/>
        <w:rPr>
          <w:rFonts w:cs="Calibri"/>
          <w:b/>
          <w:sz w:val="20"/>
          <w:szCs w:val="20"/>
          <w:shd w:val="clear" w:color="auto" w:fill="FFFFFF"/>
        </w:rPr>
      </w:pPr>
      <w:r w:rsidRPr="00D86D94">
        <w:rPr>
          <w:rFonts w:cs="Calibri"/>
          <w:b/>
          <w:sz w:val="20"/>
          <w:szCs w:val="20"/>
          <w:shd w:val="clear" w:color="auto" w:fill="FFFFFF"/>
        </w:rPr>
        <w:t>Igazgatói utasítás</w:t>
      </w:r>
    </w:p>
    <w:p w:rsidR="000C7F5E" w:rsidRPr="0052610A" w:rsidRDefault="000C7F5E" w:rsidP="00D86D94">
      <w:pPr>
        <w:rPr>
          <w:rFonts w:cs="Calibri"/>
          <w:b/>
          <w:sz w:val="20"/>
          <w:szCs w:val="20"/>
          <w:shd w:val="clear" w:color="auto" w:fill="FFFFFF"/>
        </w:rPr>
      </w:pPr>
      <w:r w:rsidRPr="0052610A">
        <w:rPr>
          <w:rFonts w:cs="Calibri"/>
          <w:b/>
          <w:sz w:val="20"/>
          <w:szCs w:val="20"/>
          <w:shd w:val="clear" w:color="auto" w:fill="FFFFFF"/>
        </w:rPr>
        <w:t>Tárgy: térítési és tandíjfizetési kötelemről</w:t>
      </w:r>
    </w:p>
    <w:p w:rsidR="000C7F5E" w:rsidRPr="00D86D94" w:rsidRDefault="000C7F5E" w:rsidP="00D86D94">
      <w:pPr>
        <w:rPr>
          <w:rFonts w:cs="Calibri"/>
          <w:sz w:val="20"/>
          <w:szCs w:val="20"/>
          <w:shd w:val="clear" w:color="auto" w:fill="FFFFFF"/>
        </w:rPr>
      </w:pPr>
      <w:r w:rsidRPr="00D86D94">
        <w:rPr>
          <w:rFonts w:cs="Calibri"/>
          <w:sz w:val="20"/>
          <w:szCs w:val="20"/>
          <w:shd w:val="clear" w:color="auto" w:fill="FFFFFF"/>
        </w:rPr>
        <w:t>A 2011. évi CXC törvény a nemzeti köznevelésről 2. § (1) alapján és a 229/2012 ( VIII. 28. ) sz. Kormányrendelet 33-36 § alapján: térítésmentesen biztosított köznevelési közfeladat, tehát ingyenes középfokú isk</w:t>
      </w:r>
      <w:r>
        <w:rPr>
          <w:rFonts w:cs="Calibri"/>
          <w:sz w:val="20"/>
          <w:szCs w:val="20"/>
          <w:shd w:val="clear" w:color="auto" w:fill="FFFFFF"/>
        </w:rPr>
        <w:t>olában:</w:t>
      </w:r>
    </w:p>
    <w:p w:rsidR="000C7F5E" w:rsidRPr="00D86D94" w:rsidRDefault="000C7F5E" w:rsidP="00D86D94">
      <w:pPr>
        <w:rPr>
          <w:rFonts w:cs="Calibri"/>
          <w:sz w:val="20"/>
          <w:szCs w:val="20"/>
          <w:shd w:val="clear" w:color="auto" w:fill="FFFFFF"/>
        </w:rPr>
      </w:pPr>
      <w:r w:rsidRPr="00D86D94">
        <w:rPr>
          <w:rFonts w:cs="Calibri"/>
          <w:sz w:val="20"/>
          <w:szCs w:val="20"/>
          <w:shd w:val="clear" w:color="auto" w:fill="FFFFFF"/>
        </w:rPr>
        <w:t>- tanórai foglalkozás</w:t>
      </w:r>
    </w:p>
    <w:p w:rsidR="000C7F5E" w:rsidRPr="00D86D94" w:rsidRDefault="000C7F5E" w:rsidP="00D86D94">
      <w:pPr>
        <w:rPr>
          <w:rFonts w:cs="Calibri"/>
          <w:sz w:val="20"/>
          <w:szCs w:val="20"/>
          <w:shd w:val="clear" w:color="auto" w:fill="FFFFFF"/>
        </w:rPr>
      </w:pPr>
      <w:r w:rsidRPr="00D86D94">
        <w:rPr>
          <w:rFonts w:cs="Calibri"/>
          <w:sz w:val="20"/>
          <w:szCs w:val="20"/>
          <w:shd w:val="clear" w:color="auto" w:fill="FFFFFF"/>
        </w:rPr>
        <w:t>- BTM, SNI tanulók részére felzárkóztató foglalkozás ( heti kötelező órakeret terhére)</w:t>
      </w:r>
    </w:p>
    <w:p w:rsidR="000C7F5E" w:rsidRPr="00D86D94" w:rsidRDefault="000C7F5E" w:rsidP="00D86D94">
      <w:pPr>
        <w:rPr>
          <w:rFonts w:cs="Calibri"/>
          <w:sz w:val="20"/>
          <w:szCs w:val="20"/>
          <w:shd w:val="clear" w:color="auto" w:fill="FFFFFF"/>
        </w:rPr>
      </w:pPr>
      <w:r w:rsidRPr="00D86D94">
        <w:rPr>
          <w:rFonts w:cs="Calibri"/>
          <w:sz w:val="20"/>
          <w:szCs w:val="20"/>
          <w:shd w:val="clear" w:color="auto" w:fill="FFFFFF"/>
        </w:rPr>
        <w:t xml:space="preserve">- első szakképesítésre való felkészülés </w:t>
      </w:r>
    </w:p>
    <w:p w:rsidR="000C7F5E" w:rsidRPr="00D86D94" w:rsidRDefault="000C7F5E" w:rsidP="00D86D94">
      <w:pPr>
        <w:rPr>
          <w:rFonts w:cs="Calibri"/>
          <w:sz w:val="20"/>
          <w:szCs w:val="20"/>
          <w:shd w:val="clear" w:color="auto" w:fill="FFFFFF"/>
        </w:rPr>
      </w:pPr>
      <w:r w:rsidRPr="00D86D94">
        <w:rPr>
          <w:rFonts w:cs="Calibri"/>
          <w:sz w:val="20"/>
          <w:szCs w:val="20"/>
          <w:shd w:val="clear" w:color="auto" w:fill="FFFFFF"/>
        </w:rPr>
        <w:t>- első szakmai vizsga , pótló szakmai vizsga, első alkalommal javító szakmai vizsga</w:t>
      </w:r>
    </w:p>
    <w:p w:rsidR="000C7F5E" w:rsidRPr="00D86D94" w:rsidRDefault="000C7F5E" w:rsidP="00D86D94">
      <w:pPr>
        <w:rPr>
          <w:rFonts w:cs="Calibri"/>
          <w:sz w:val="20"/>
          <w:szCs w:val="20"/>
          <w:shd w:val="clear" w:color="auto" w:fill="FFFFFF"/>
        </w:rPr>
      </w:pPr>
      <w:r w:rsidRPr="00D86D94">
        <w:rPr>
          <w:rFonts w:cs="Calibri"/>
          <w:sz w:val="20"/>
          <w:szCs w:val="20"/>
          <w:shd w:val="clear" w:color="auto" w:fill="FFFFFF"/>
        </w:rPr>
        <w:t xml:space="preserve">- érettségi vizsga, tanulói jogviszony alatti sikertelen érettségi vizsga első javító és pótló vizsgája </w:t>
      </w:r>
    </w:p>
    <w:p w:rsidR="000C7F5E" w:rsidRPr="00D86D94" w:rsidRDefault="000C7F5E" w:rsidP="00D86D94">
      <w:pPr>
        <w:rPr>
          <w:rFonts w:cs="Calibri"/>
          <w:sz w:val="20"/>
          <w:szCs w:val="20"/>
          <w:shd w:val="clear" w:color="auto" w:fill="FFFFFF"/>
        </w:rPr>
      </w:pPr>
      <w:r w:rsidRPr="00D86D94">
        <w:rPr>
          <w:rFonts w:cs="Calibri"/>
          <w:sz w:val="20"/>
          <w:szCs w:val="20"/>
          <w:shd w:val="clear" w:color="auto" w:fill="FFFFFF"/>
        </w:rPr>
        <w:t>- évf</w:t>
      </w:r>
      <w:r>
        <w:rPr>
          <w:rFonts w:cs="Calibri"/>
          <w:sz w:val="20"/>
          <w:szCs w:val="20"/>
          <w:shd w:val="clear" w:color="auto" w:fill="FFFFFF"/>
        </w:rPr>
        <w:t xml:space="preserve">olyamismétlés első alkalommal, </w:t>
      </w:r>
    </w:p>
    <w:p w:rsidR="000C7F5E" w:rsidRPr="0052610A" w:rsidRDefault="000C7F5E" w:rsidP="00D86D94">
      <w:pPr>
        <w:rPr>
          <w:rFonts w:cs="Calibri"/>
          <w:b/>
          <w:sz w:val="20"/>
          <w:szCs w:val="20"/>
          <w:shd w:val="clear" w:color="auto" w:fill="FFFFFF"/>
        </w:rPr>
      </w:pPr>
      <w:r w:rsidRPr="0052610A">
        <w:rPr>
          <w:rFonts w:cs="Calibri"/>
          <w:b/>
          <w:sz w:val="20"/>
          <w:szCs w:val="20"/>
          <w:shd w:val="clear" w:color="auto" w:fill="FFFFFF"/>
        </w:rPr>
        <w:t xml:space="preserve">Térítési díj fizetésére kötelezett (Kormr.  34 § (1) alapján) </w:t>
      </w:r>
    </w:p>
    <w:p w:rsidR="000C7F5E" w:rsidRPr="00D86D94" w:rsidRDefault="000C7F5E" w:rsidP="00D86D94">
      <w:pPr>
        <w:rPr>
          <w:rFonts w:cs="Calibri"/>
          <w:sz w:val="20"/>
          <w:szCs w:val="20"/>
          <w:shd w:val="clear" w:color="auto" w:fill="FFFFFF"/>
        </w:rPr>
      </w:pPr>
      <w:r w:rsidRPr="00D86D94">
        <w:rPr>
          <w:rFonts w:cs="Calibri"/>
          <w:sz w:val="20"/>
          <w:szCs w:val="20"/>
          <w:shd w:val="clear" w:color="auto" w:fill="FFFFFF"/>
        </w:rPr>
        <w:t>- Nem tanköteles tanuló , aki második alkalommal ismétel évfolyamot ( 3. alkalommal jár ugyanabba az évfolyamba)</w:t>
      </w:r>
    </w:p>
    <w:p w:rsidR="000C7F5E" w:rsidRPr="00D86D94" w:rsidRDefault="000C7F5E" w:rsidP="00D86D94">
      <w:pPr>
        <w:rPr>
          <w:rFonts w:cs="Calibri"/>
          <w:sz w:val="20"/>
          <w:szCs w:val="20"/>
          <w:shd w:val="clear" w:color="auto" w:fill="FFFFFF"/>
        </w:rPr>
      </w:pPr>
      <w:r w:rsidRPr="00D86D94">
        <w:rPr>
          <w:rFonts w:cs="Calibri"/>
          <w:sz w:val="20"/>
          <w:szCs w:val="20"/>
          <w:shd w:val="clear" w:color="auto" w:fill="FFFFFF"/>
        </w:rPr>
        <w:t>- független vizsgát kér</w:t>
      </w:r>
    </w:p>
    <w:p w:rsidR="000C7F5E" w:rsidRPr="00D86D94" w:rsidRDefault="000C7F5E" w:rsidP="00D86D94">
      <w:pPr>
        <w:rPr>
          <w:rFonts w:cs="Calibri"/>
          <w:sz w:val="20"/>
          <w:szCs w:val="20"/>
          <w:shd w:val="clear" w:color="auto" w:fill="FFFFFF"/>
        </w:rPr>
      </w:pPr>
      <w:r w:rsidRPr="00D86D94">
        <w:rPr>
          <w:rFonts w:cs="Calibri"/>
          <w:sz w:val="20"/>
          <w:szCs w:val="20"/>
          <w:shd w:val="clear" w:color="auto" w:fill="FFFFFF"/>
        </w:rPr>
        <w:t>- Tanulói jogviszony megszűnése után megkezdett szakmai vizsga ( ide értve a javító vagy pótló vizsgát is!) és tanulói jogviszony alatt megkezdett, de be nem fejezett szakmai vizsga má</w:t>
      </w:r>
      <w:r>
        <w:rPr>
          <w:rFonts w:cs="Calibri"/>
          <w:sz w:val="20"/>
          <w:szCs w:val="20"/>
          <w:shd w:val="clear" w:color="auto" w:fill="FFFFFF"/>
        </w:rPr>
        <w:t>sodik vagy további javítóvizsga</w:t>
      </w:r>
    </w:p>
    <w:p w:rsidR="000C7F5E" w:rsidRPr="0052610A" w:rsidRDefault="000C7F5E" w:rsidP="0052610A">
      <w:pPr>
        <w:jc w:val="center"/>
        <w:rPr>
          <w:rFonts w:cs="Calibri"/>
          <w:b/>
          <w:sz w:val="20"/>
          <w:szCs w:val="20"/>
          <w:shd w:val="clear" w:color="auto" w:fill="FFFFFF"/>
        </w:rPr>
      </w:pPr>
      <w:r w:rsidRPr="0052610A">
        <w:rPr>
          <w:rFonts w:cs="Calibri"/>
          <w:b/>
          <w:sz w:val="20"/>
          <w:szCs w:val="20"/>
          <w:shd w:val="clear" w:color="auto" w:fill="FFFFFF"/>
        </w:rPr>
        <w:t>Térítési díj mértéke</w:t>
      </w:r>
    </w:p>
    <w:p w:rsidR="000C7F5E" w:rsidRPr="00D86D94" w:rsidRDefault="000C7F5E" w:rsidP="00D86D94">
      <w:pPr>
        <w:rPr>
          <w:rFonts w:cs="Calibri"/>
          <w:sz w:val="20"/>
          <w:szCs w:val="20"/>
          <w:shd w:val="clear" w:color="auto" w:fill="FFFFFF"/>
        </w:rPr>
      </w:pPr>
      <w:r w:rsidRPr="00D86D94">
        <w:rPr>
          <w:rFonts w:cs="Calibri"/>
          <w:sz w:val="20"/>
          <w:szCs w:val="20"/>
          <w:shd w:val="clear" w:color="auto" w:fill="FFFFFF"/>
        </w:rPr>
        <w:t>-</w:t>
      </w:r>
      <w:r w:rsidRPr="00D86D94">
        <w:rPr>
          <w:rFonts w:cs="Calibri"/>
          <w:sz w:val="20"/>
          <w:szCs w:val="20"/>
          <w:shd w:val="clear" w:color="auto" w:fill="FFFFFF"/>
        </w:rPr>
        <w:tab/>
        <w:t>nem tanköteles tanuló esetén a díjalap 20 %-a, mely a KLIK szabályzatában részl</w:t>
      </w:r>
      <w:r>
        <w:rPr>
          <w:rFonts w:cs="Calibri"/>
          <w:sz w:val="20"/>
          <w:szCs w:val="20"/>
          <w:shd w:val="clear" w:color="auto" w:fill="FFFFFF"/>
        </w:rPr>
        <w:t>etezett feltételek szerint csökkenthető</w:t>
      </w:r>
    </w:p>
    <w:p w:rsidR="000C7F5E" w:rsidRPr="0052610A" w:rsidRDefault="000C7F5E" w:rsidP="0052610A">
      <w:pPr>
        <w:jc w:val="center"/>
        <w:rPr>
          <w:rFonts w:cs="Calibri"/>
          <w:b/>
          <w:sz w:val="20"/>
          <w:szCs w:val="20"/>
          <w:shd w:val="clear" w:color="auto" w:fill="FFFFFF"/>
        </w:rPr>
      </w:pPr>
      <w:r w:rsidRPr="0052610A">
        <w:rPr>
          <w:rFonts w:cs="Calibri"/>
          <w:b/>
          <w:sz w:val="20"/>
          <w:szCs w:val="20"/>
          <w:shd w:val="clear" w:color="auto" w:fill="FFFFFF"/>
        </w:rPr>
        <w:t>Tandíj fizetésére kötelezett  ( Kormr. 36 § (1) alapján)</w:t>
      </w:r>
    </w:p>
    <w:p w:rsidR="000C7F5E" w:rsidRPr="00D86D94" w:rsidRDefault="000C7F5E" w:rsidP="00D86D94">
      <w:pPr>
        <w:rPr>
          <w:rFonts w:cs="Calibri"/>
          <w:sz w:val="20"/>
          <w:szCs w:val="20"/>
          <w:shd w:val="clear" w:color="auto" w:fill="FFFFFF"/>
        </w:rPr>
      </w:pPr>
      <w:r w:rsidRPr="00D86D94">
        <w:rPr>
          <w:rFonts w:cs="Calibri"/>
          <w:sz w:val="20"/>
          <w:szCs w:val="20"/>
          <w:shd w:val="clear" w:color="auto" w:fill="FFFFFF"/>
        </w:rPr>
        <w:t>--aki tanulmányi követelmények nem teljesítése miatt harmadik, és további alkalommal ismétel évfolyamot ( 4. alkalommal , vagy többször jár ugyanabba az évfolyamba)</w:t>
      </w:r>
    </w:p>
    <w:p w:rsidR="000C7F5E" w:rsidRPr="00D86D94" w:rsidRDefault="000C7F5E" w:rsidP="00D86D94">
      <w:pPr>
        <w:rPr>
          <w:rFonts w:cs="Calibri"/>
          <w:sz w:val="20"/>
          <w:szCs w:val="20"/>
          <w:shd w:val="clear" w:color="auto" w:fill="FFFFFF"/>
        </w:rPr>
      </w:pPr>
      <w:r w:rsidRPr="00D86D94">
        <w:rPr>
          <w:rFonts w:cs="Calibri"/>
          <w:sz w:val="20"/>
          <w:szCs w:val="20"/>
          <w:shd w:val="clear" w:color="auto" w:fill="FFFFFF"/>
        </w:rPr>
        <w:t xml:space="preserve">- második vagy további szakképesítésre való felkészülés, </w:t>
      </w:r>
    </w:p>
    <w:p w:rsidR="000C7F5E" w:rsidRPr="00D86D94" w:rsidRDefault="000C7F5E" w:rsidP="00D86D94">
      <w:pPr>
        <w:rPr>
          <w:rFonts w:cs="Calibri"/>
          <w:sz w:val="20"/>
          <w:szCs w:val="20"/>
          <w:shd w:val="clear" w:color="auto" w:fill="FFFFFF"/>
        </w:rPr>
      </w:pPr>
      <w:r w:rsidRPr="00D86D94">
        <w:rPr>
          <w:rFonts w:cs="Calibri"/>
          <w:sz w:val="20"/>
          <w:szCs w:val="20"/>
          <w:shd w:val="clear" w:color="auto" w:fill="FFFFFF"/>
        </w:rPr>
        <w:t>- második vagy további szakmai vizsga,</w:t>
      </w:r>
      <w:r>
        <w:rPr>
          <w:rFonts w:cs="Calibri"/>
          <w:sz w:val="20"/>
          <w:szCs w:val="20"/>
          <w:shd w:val="clear" w:color="auto" w:fill="FFFFFF"/>
        </w:rPr>
        <w:t xml:space="preserve"> annak javító és pótló vizsgái </w:t>
      </w:r>
    </w:p>
    <w:p w:rsidR="000C7F5E" w:rsidRPr="0052610A" w:rsidRDefault="000C7F5E" w:rsidP="0052610A">
      <w:pPr>
        <w:jc w:val="center"/>
        <w:rPr>
          <w:rFonts w:cs="Calibri"/>
          <w:b/>
          <w:sz w:val="20"/>
          <w:szCs w:val="20"/>
          <w:shd w:val="clear" w:color="auto" w:fill="FFFFFF"/>
        </w:rPr>
      </w:pPr>
      <w:r w:rsidRPr="0052610A">
        <w:rPr>
          <w:rFonts w:cs="Calibri"/>
          <w:b/>
          <w:sz w:val="20"/>
          <w:szCs w:val="20"/>
          <w:shd w:val="clear" w:color="auto" w:fill="FFFFFF"/>
        </w:rPr>
        <w:t>Tandíj mértéke:</w:t>
      </w:r>
    </w:p>
    <w:p w:rsidR="000C7F5E" w:rsidRPr="00D86D94" w:rsidRDefault="000C7F5E" w:rsidP="00D86D94">
      <w:pPr>
        <w:rPr>
          <w:rFonts w:cs="Calibri"/>
          <w:sz w:val="20"/>
          <w:szCs w:val="20"/>
          <w:shd w:val="clear" w:color="auto" w:fill="FFFFFF"/>
        </w:rPr>
      </w:pPr>
      <w:r w:rsidRPr="00D86D94">
        <w:rPr>
          <w:rFonts w:cs="Calibri"/>
          <w:sz w:val="20"/>
          <w:szCs w:val="20"/>
          <w:shd w:val="clear" w:color="auto" w:fill="FFFFFF"/>
        </w:rPr>
        <w:t>-</w:t>
      </w:r>
      <w:r w:rsidRPr="00D86D94">
        <w:rPr>
          <w:rFonts w:cs="Calibri"/>
          <w:sz w:val="20"/>
          <w:szCs w:val="20"/>
          <w:shd w:val="clear" w:color="auto" w:fill="FFFFFF"/>
        </w:rPr>
        <w:tab/>
        <w:t>a díjalap 100 %-a, amely a KLIK szabályzatában részletezett feltételekkel 20 %-ig csökkenthető</w:t>
      </w:r>
    </w:p>
    <w:p w:rsidR="000C7F5E" w:rsidRPr="00D86D94" w:rsidRDefault="000C7F5E" w:rsidP="00D86D94">
      <w:pPr>
        <w:rPr>
          <w:rFonts w:cs="Calibri"/>
          <w:sz w:val="20"/>
          <w:szCs w:val="20"/>
          <w:shd w:val="clear" w:color="auto" w:fill="FFFFFF"/>
        </w:rPr>
      </w:pPr>
      <w:r w:rsidRPr="00D86D94">
        <w:rPr>
          <w:rFonts w:cs="Calibri"/>
          <w:sz w:val="20"/>
          <w:szCs w:val="20"/>
          <w:shd w:val="clear" w:color="auto" w:fill="FFFFFF"/>
        </w:rPr>
        <w:t xml:space="preserve">A díjalap: A szakmai feladatra számított folyó kiadások egy tanulóra jutó hányadának meghatározása, a KLIK szabályzata szerint jelenleg:  </w:t>
      </w:r>
    </w:p>
    <w:p w:rsidR="000C7F5E" w:rsidRPr="00D86D94" w:rsidRDefault="000C7F5E" w:rsidP="00D86D94">
      <w:pPr>
        <w:rPr>
          <w:rFonts w:cs="Calibri"/>
          <w:sz w:val="20"/>
          <w:szCs w:val="20"/>
          <w:shd w:val="clear" w:color="auto" w:fill="FFFFFF"/>
        </w:rPr>
      </w:pPr>
      <w:r w:rsidRPr="00D86D94">
        <w:rPr>
          <w:rFonts w:cs="Calibri"/>
          <w:sz w:val="20"/>
          <w:szCs w:val="20"/>
          <w:shd w:val="clear" w:color="auto" w:fill="FFFFFF"/>
        </w:rPr>
        <w:t>Érettségire készülő tanulók esetén (9-12 évfolyam) a díjalap: 724. 200 Ft.</w:t>
      </w:r>
    </w:p>
    <w:p w:rsidR="000C7F5E" w:rsidRPr="00D86D94" w:rsidRDefault="000C7F5E" w:rsidP="00D86D94">
      <w:pPr>
        <w:rPr>
          <w:rFonts w:cs="Calibri"/>
          <w:sz w:val="20"/>
          <w:szCs w:val="20"/>
          <w:shd w:val="clear" w:color="auto" w:fill="FFFFFF"/>
        </w:rPr>
      </w:pPr>
      <w:r w:rsidRPr="00D86D94">
        <w:rPr>
          <w:rFonts w:cs="Calibri"/>
          <w:sz w:val="20"/>
          <w:szCs w:val="20"/>
          <w:shd w:val="clear" w:color="auto" w:fill="FFFFFF"/>
        </w:rPr>
        <w:t>Érettségire épülő szakképzésben résztvevő tanuló esetén: 777. 500 Ft.</w:t>
      </w:r>
    </w:p>
    <w:p w:rsidR="000C7F5E" w:rsidRPr="00D86D94" w:rsidRDefault="000C7F5E" w:rsidP="00D86D94">
      <w:pPr>
        <w:rPr>
          <w:rFonts w:cs="Calibri"/>
          <w:sz w:val="20"/>
          <w:szCs w:val="20"/>
          <w:shd w:val="clear" w:color="auto" w:fill="FFFFFF"/>
        </w:rPr>
      </w:pPr>
      <w:r w:rsidRPr="00D86D94">
        <w:rPr>
          <w:rFonts w:cs="Calibri"/>
          <w:sz w:val="20"/>
          <w:szCs w:val="20"/>
          <w:shd w:val="clear" w:color="auto" w:fill="FFFFFF"/>
        </w:rPr>
        <w:t>Szakiskolai képzésben részt vevő tanulónál</w:t>
      </w:r>
      <w:r>
        <w:rPr>
          <w:rFonts w:cs="Calibri"/>
          <w:sz w:val="20"/>
          <w:szCs w:val="20"/>
          <w:shd w:val="clear" w:color="auto" w:fill="FFFFFF"/>
        </w:rPr>
        <w:t>: 777. 500 Ft.</w:t>
      </w:r>
    </w:p>
    <w:p w:rsidR="000C7F5E" w:rsidRPr="0052610A" w:rsidRDefault="000C7F5E" w:rsidP="0052610A">
      <w:pPr>
        <w:jc w:val="center"/>
        <w:rPr>
          <w:rFonts w:cs="Calibri"/>
          <w:b/>
          <w:sz w:val="20"/>
          <w:szCs w:val="20"/>
          <w:shd w:val="clear" w:color="auto" w:fill="FFFFFF"/>
        </w:rPr>
      </w:pPr>
      <w:r w:rsidRPr="0052610A">
        <w:rPr>
          <w:rFonts w:cs="Calibri"/>
          <w:b/>
          <w:sz w:val="20"/>
          <w:szCs w:val="20"/>
          <w:shd w:val="clear" w:color="auto" w:fill="FFFFFF"/>
        </w:rPr>
        <w:t>Térítési díj fizetés esetei:</w:t>
      </w:r>
    </w:p>
    <w:p w:rsidR="000C7F5E" w:rsidRPr="00D86D94" w:rsidRDefault="000C7F5E" w:rsidP="00D86D94">
      <w:pPr>
        <w:rPr>
          <w:rFonts w:cs="Calibri"/>
          <w:sz w:val="20"/>
          <w:szCs w:val="20"/>
          <w:shd w:val="clear" w:color="auto" w:fill="FFFFFF"/>
        </w:rPr>
      </w:pPr>
      <w:r>
        <w:rPr>
          <w:rFonts w:cs="Calibri"/>
          <w:sz w:val="20"/>
          <w:szCs w:val="20"/>
          <w:shd w:val="clear" w:color="auto" w:fill="FFFFFF"/>
        </w:rPr>
        <w:t>a) nem tanköteles tanulóknál</w:t>
      </w:r>
    </w:p>
    <w:p w:rsidR="000C7F5E" w:rsidRPr="00D86D94" w:rsidRDefault="000C7F5E" w:rsidP="00D86D94">
      <w:pPr>
        <w:rPr>
          <w:rFonts w:cs="Calibri"/>
          <w:sz w:val="20"/>
          <w:szCs w:val="20"/>
          <w:shd w:val="clear" w:color="auto" w:fill="FFFFFF"/>
        </w:rPr>
      </w:pPr>
      <w:r w:rsidRPr="00D86D94">
        <w:rPr>
          <w:rFonts w:cs="Calibri"/>
          <w:sz w:val="20"/>
          <w:szCs w:val="20"/>
          <w:shd w:val="clear" w:color="auto" w:fill="FFFFFF"/>
        </w:rPr>
        <w:t>- aki második alkalommal ismétel évfolyamot ( 3. alkalommal jár ugyanabba az évfolyamba) a díjalap 20 %-a, azaz érettségire készülő tanuló esetén: 144. 840 Ft/év , szakiskolai és érettségire épülő szakképzésben résztvevő tanuló esetén: 155. 500 Ft., ami ha nem tanulmányi eredmény sikertelensége miatt ismétel valaki, akkor tanulmányi er</w:t>
      </w:r>
      <w:r>
        <w:rPr>
          <w:rFonts w:cs="Calibri"/>
          <w:sz w:val="20"/>
          <w:szCs w:val="20"/>
          <w:shd w:val="clear" w:color="auto" w:fill="FFFFFF"/>
        </w:rPr>
        <w:t>edménytől függően csökkenthető.</w:t>
      </w:r>
    </w:p>
    <w:p w:rsidR="000C7F5E" w:rsidRPr="00D86D94" w:rsidRDefault="000C7F5E" w:rsidP="00D86D94">
      <w:pPr>
        <w:rPr>
          <w:rFonts w:cs="Calibri"/>
          <w:sz w:val="20"/>
          <w:szCs w:val="20"/>
          <w:shd w:val="clear" w:color="auto" w:fill="FFFFFF"/>
        </w:rPr>
      </w:pPr>
      <w:r w:rsidRPr="00D86D94">
        <w:rPr>
          <w:rFonts w:cs="Calibri"/>
          <w:sz w:val="20"/>
          <w:szCs w:val="20"/>
          <w:shd w:val="clear" w:color="auto" w:fill="FFFFFF"/>
        </w:rPr>
        <w:t>b) ve</w:t>
      </w:r>
      <w:r>
        <w:rPr>
          <w:rFonts w:cs="Calibri"/>
          <w:sz w:val="20"/>
          <w:szCs w:val="20"/>
          <w:shd w:val="clear" w:color="auto" w:fill="FFFFFF"/>
        </w:rPr>
        <w:t xml:space="preserve">ndégtanulói jogviszony esetén: </w:t>
      </w:r>
    </w:p>
    <w:p w:rsidR="000C7F5E" w:rsidRPr="00D86D94" w:rsidRDefault="000C7F5E" w:rsidP="00D86D94">
      <w:pPr>
        <w:rPr>
          <w:rFonts w:cs="Calibri"/>
          <w:sz w:val="20"/>
          <w:szCs w:val="20"/>
          <w:shd w:val="clear" w:color="auto" w:fill="FFFFFF"/>
        </w:rPr>
      </w:pPr>
      <w:r w:rsidRPr="00D86D94">
        <w:rPr>
          <w:rFonts w:cs="Calibri"/>
          <w:sz w:val="20"/>
          <w:szCs w:val="20"/>
          <w:shd w:val="clear" w:color="auto" w:fill="FFFFFF"/>
        </w:rPr>
        <w:t>a fizetendő összeg a díjalap a tanulmányi eredménytől függő mértéke:</w:t>
      </w:r>
    </w:p>
    <w:p w:rsidR="000C7F5E" w:rsidRPr="00D86D94" w:rsidRDefault="000C7F5E" w:rsidP="00D86D94">
      <w:pPr>
        <w:rPr>
          <w:rFonts w:cs="Calibri"/>
          <w:sz w:val="20"/>
          <w:szCs w:val="20"/>
          <w:shd w:val="clear" w:color="auto" w:fill="FFFFFF"/>
        </w:rPr>
      </w:pPr>
      <w:r w:rsidRPr="00D86D94">
        <w:rPr>
          <w:rFonts w:cs="Calibri"/>
          <w:sz w:val="20"/>
          <w:szCs w:val="20"/>
          <w:shd w:val="clear" w:color="auto" w:fill="FFFFFF"/>
        </w:rPr>
        <w:t>- 4, 6-5 között 3%</w:t>
      </w:r>
    </w:p>
    <w:p w:rsidR="000C7F5E" w:rsidRPr="00D86D94" w:rsidRDefault="000C7F5E" w:rsidP="00D86D94">
      <w:pPr>
        <w:rPr>
          <w:rFonts w:cs="Calibri"/>
          <w:sz w:val="20"/>
          <w:szCs w:val="20"/>
          <w:shd w:val="clear" w:color="auto" w:fill="FFFFFF"/>
        </w:rPr>
      </w:pPr>
      <w:r w:rsidRPr="00D86D94">
        <w:rPr>
          <w:rFonts w:cs="Calibri"/>
          <w:sz w:val="20"/>
          <w:szCs w:val="20"/>
          <w:shd w:val="clear" w:color="auto" w:fill="FFFFFF"/>
        </w:rPr>
        <w:t>- 4,1 és 4,5 között 4 %</w:t>
      </w:r>
    </w:p>
    <w:p w:rsidR="000C7F5E" w:rsidRPr="00D86D94" w:rsidRDefault="000C7F5E" w:rsidP="00D86D94">
      <w:pPr>
        <w:rPr>
          <w:rFonts w:cs="Calibri"/>
          <w:sz w:val="20"/>
          <w:szCs w:val="20"/>
          <w:shd w:val="clear" w:color="auto" w:fill="FFFFFF"/>
        </w:rPr>
      </w:pPr>
      <w:r w:rsidRPr="00D86D94">
        <w:rPr>
          <w:rFonts w:cs="Calibri"/>
          <w:sz w:val="20"/>
          <w:szCs w:val="20"/>
          <w:shd w:val="clear" w:color="auto" w:fill="FFFFFF"/>
        </w:rPr>
        <w:t>-3,6-és 4 között 10 %</w:t>
      </w:r>
    </w:p>
    <w:p w:rsidR="000C7F5E" w:rsidRPr="00D86D94" w:rsidRDefault="000C7F5E" w:rsidP="00D86D94">
      <w:pPr>
        <w:rPr>
          <w:rFonts w:cs="Calibri"/>
          <w:sz w:val="20"/>
          <w:szCs w:val="20"/>
          <w:shd w:val="clear" w:color="auto" w:fill="FFFFFF"/>
        </w:rPr>
      </w:pPr>
      <w:r w:rsidRPr="00D86D94">
        <w:rPr>
          <w:rFonts w:cs="Calibri"/>
          <w:sz w:val="20"/>
          <w:szCs w:val="20"/>
          <w:shd w:val="clear" w:color="auto" w:fill="FFFFFF"/>
        </w:rPr>
        <w:t>- 3,1-3,5 között 15 %</w:t>
      </w:r>
    </w:p>
    <w:p w:rsidR="000C7F5E" w:rsidRPr="00D86D94" w:rsidRDefault="000C7F5E" w:rsidP="00D86D94">
      <w:pPr>
        <w:rPr>
          <w:rFonts w:cs="Calibri"/>
          <w:sz w:val="20"/>
          <w:szCs w:val="20"/>
          <w:shd w:val="clear" w:color="auto" w:fill="FFFFFF"/>
        </w:rPr>
      </w:pPr>
      <w:r w:rsidRPr="00D86D94">
        <w:rPr>
          <w:rFonts w:cs="Calibri"/>
          <w:sz w:val="20"/>
          <w:szCs w:val="20"/>
          <w:shd w:val="clear" w:color="auto" w:fill="FFFFFF"/>
        </w:rPr>
        <w:t>- 2-3 között 20%</w:t>
      </w:r>
    </w:p>
    <w:p w:rsidR="000C7F5E" w:rsidRPr="00D86D94" w:rsidRDefault="000C7F5E" w:rsidP="00D86D94">
      <w:pPr>
        <w:rPr>
          <w:rFonts w:cs="Calibri"/>
          <w:sz w:val="20"/>
          <w:szCs w:val="20"/>
          <w:shd w:val="clear" w:color="auto" w:fill="FFFFFF"/>
        </w:rPr>
      </w:pPr>
      <w:r>
        <w:rPr>
          <w:rFonts w:cs="Calibri"/>
          <w:sz w:val="20"/>
          <w:szCs w:val="20"/>
          <w:shd w:val="clear" w:color="auto" w:fill="FFFFFF"/>
        </w:rPr>
        <w:t>- elégtelen 30 %</w:t>
      </w:r>
    </w:p>
    <w:p w:rsidR="000C7F5E" w:rsidRPr="00D86D94" w:rsidRDefault="000C7F5E" w:rsidP="00D86D94">
      <w:pPr>
        <w:rPr>
          <w:rFonts w:cs="Calibri"/>
          <w:sz w:val="20"/>
          <w:szCs w:val="20"/>
          <w:shd w:val="clear" w:color="auto" w:fill="FFFFFF"/>
        </w:rPr>
      </w:pPr>
      <w:r>
        <w:rPr>
          <w:rFonts w:cs="Calibri"/>
          <w:sz w:val="20"/>
          <w:szCs w:val="20"/>
          <w:shd w:val="clear" w:color="auto" w:fill="FFFFFF"/>
        </w:rPr>
        <w:t xml:space="preserve">c) független vizsgáért </w:t>
      </w:r>
      <w:r w:rsidRPr="00D86D94">
        <w:rPr>
          <w:rFonts w:cs="Calibri"/>
          <w:sz w:val="20"/>
          <w:szCs w:val="20"/>
          <w:shd w:val="clear" w:color="auto" w:fill="FFFFFF"/>
        </w:rPr>
        <w:t>tantárgyanként a kötelező legkisebb m</w:t>
      </w:r>
      <w:r>
        <w:rPr>
          <w:rFonts w:cs="Calibri"/>
          <w:sz w:val="20"/>
          <w:szCs w:val="20"/>
          <w:shd w:val="clear" w:color="auto" w:fill="FFFFFF"/>
        </w:rPr>
        <w:t>unkabér (minimálbér) 3. 75 %-a</w:t>
      </w:r>
    </w:p>
    <w:p w:rsidR="000C7F5E" w:rsidRPr="00D86D94" w:rsidRDefault="000C7F5E" w:rsidP="00D86D94">
      <w:pPr>
        <w:rPr>
          <w:rFonts w:cs="Calibri"/>
          <w:sz w:val="20"/>
          <w:szCs w:val="20"/>
          <w:shd w:val="clear" w:color="auto" w:fill="FFFFFF"/>
        </w:rPr>
      </w:pPr>
      <w:r>
        <w:rPr>
          <w:rFonts w:cs="Calibri"/>
          <w:sz w:val="20"/>
          <w:szCs w:val="20"/>
          <w:shd w:val="clear" w:color="auto" w:fill="FFFFFF"/>
        </w:rPr>
        <w:t>d) szakmai vizsgáért</w:t>
      </w:r>
    </w:p>
    <w:p w:rsidR="000C7F5E" w:rsidRPr="00D86D94" w:rsidRDefault="000C7F5E" w:rsidP="00D86D94">
      <w:pPr>
        <w:rPr>
          <w:rFonts w:cs="Calibri"/>
          <w:sz w:val="20"/>
          <w:szCs w:val="20"/>
          <w:shd w:val="clear" w:color="auto" w:fill="FFFFFF"/>
        </w:rPr>
      </w:pPr>
      <w:r w:rsidRPr="00D86D94">
        <w:rPr>
          <w:rFonts w:cs="Calibri"/>
          <w:sz w:val="20"/>
          <w:szCs w:val="20"/>
          <w:shd w:val="clear" w:color="auto" w:fill="FFFFFF"/>
        </w:rPr>
        <w:t>Tanulói jogviszony megszűnése után megkezdett szakmai vizsga (ide értve a javító vagy pótló vizsgát is!) és tanulói jogviszony alatt megkezdett, de be nem fejezett szakmai vizsga második vagy további javítóvizsga esetén a szakmai vizsgadíj és vizsgáztatási díjak kereteiről szóló , a szakképzésért felelős miniszter által kiadott rendeletben meghatározott vizsgadíj és vizsgáztatási díj együttes összegének egy tanulóra</w:t>
      </w:r>
      <w:r>
        <w:rPr>
          <w:rFonts w:cs="Calibri"/>
          <w:sz w:val="20"/>
          <w:szCs w:val="20"/>
          <w:shd w:val="clear" w:color="auto" w:fill="FFFFFF"/>
        </w:rPr>
        <w:t xml:space="preserve"> jutó hányada.</w:t>
      </w:r>
    </w:p>
    <w:p w:rsidR="000C7F5E" w:rsidRPr="00D86D94" w:rsidRDefault="000C7F5E" w:rsidP="00D86D94">
      <w:pPr>
        <w:rPr>
          <w:rFonts w:cs="Calibri"/>
          <w:sz w:val="20"/>
          <w:szCs w:val="20"/>
          <w:shd w:val="clear" w:color="auto" w:fill="FFFFFF"/>
        </w:rPr>
      </w:pPr>
      <w:r>
        <w:rPr>
          <w:rFonts w:cs="Calibri"/>
          <w:sz w:val="20"/>
          <w:szCs w:val="20"/>
          <w:shd w:val="clear" w:color="auto" w:fill="FFFFFF"/>
        </w:rPr>
        <w:t xml:space="preserve">e) érettségi vizsga esetén </w:t>
      </w:r>
      <w:r w:rsidRPr="00D86D94">
        <w:rPr>
          <w:rFonts w:cs="Calibri"/>
          <w:sz w:val="20"/>
          <w:szCs w:val="20"/>
          <w:shd w:val="clear" w:color="auto" w:fill="FFFFFF"/>
        </w:rPr>
        <w:t>ha a tanuló jogviszonya megszűnt, ill. 2. vagy további javító vizsga esetén az adott évre érvényes mu</w:t>
      </w:r>
      <w:r>
        <w:rPr>
          <w:rFonts w:cs="Calibri"/>
          <w:sz w:val="20"/>
          <w:szCs w:val="20"/>
          <w:shd w:val="clear" w:color="auto" w:fill="FFFFFF"/>
        </w:rPr>
        <w:t>nkabér 15%-nak megfelelő összeg</w:t>
      </w:r>
    </w:p>
    <w:p w:rsidR="000C7F5E" w:rsidRPr="00D258A5" w:rsidRDefault="000C7F5E" w:rsidP="00D258A5">
      <w:pPr>
        <w:jc w:val="center"/>
        <w:rPr>
          <w:rFonts w:cs="Calibri"/>
          <w:b/>
          <w:sz w:val="20"/>
          <w:szCs w:val="20"/>
          <w:shd w:val="clear" w:color="auto" w:fill="FFFFFF"/>
        </w:rPr>
      </w:pPr>
      <w:r w:rsidRPr="00D258A5">
        <w:rPr>
          <w:rFonts w:cs="Calibri"/>
          <w:b/>
          <w:sz w:val="20"/>
          <w:szCs w:val="20"/>
          <w:shd w:val="clear" w:color="auto" w:fill="FFFFFF"/>
        </w:rPr>
        <w:t>Tandíj fizetés esetei a nem tanköteles tanulóknál:</w:t>
      </w:r>
    </w:p>
    <w:p w:rsidR="000C7F5E" w:rsidRPr="00D86D94" w:rsidRDefault="000C7F5E" w:rsidP="00D86D94">
      <w:pPr>
        <w:rPr>
          <w:rFonts w:cs="Calibri"/>
          <w:sz w:val="20"/>
          <w:szCs w:val="20"/>
          <w:shd w:val="clear" w:color="auto" w:fill="FFFFFF"/>
        </w:rPr>
      </w:pPr>
      <w:r w:rsidRPr="00D86D94">
        <w:rPr>
          <w:rFonts w:cs="Calibri"/>
          <w:sz w:val="20"/>
          <w:szCs w:val="20"/>
          <w:shd w:val="clear" w:color="auto" w:fill="FFFFFF"/>
        </w:rPr>
        <w:t>- aki harmadik alkalommal ismétel évfolyamot, (4. alkalommal jár ugyanabba az évfolyamba )a díjalap 50%-, tehát érettségire készülő tanulóknál: 362. 100. Ft/év /fő, érettségire épülő szakképzésben résztvevő tanuló esetén: 388. 750 Ft./év/fő, szakiskolai képzésben részt vevő tanulónál: 388. 750 Ft /év/fő .</w:t>
      </w:r>
    </w:p>
    <w:p w:rsidR="000C7F5E" w:rsidRPr="00D86D94" w:rsidRDefault="000C7F5E" w:rsidP="00D86D94">
      <w:pPr>
        <w:rPr>
          <w:rFonts w:cs="Calibri"/>
          <w:sz w:val="20"/>
          <w:szCs w:val="20"/>
          <w:shd w:val="clear" w:color="auto" w:fill="FFFFFF"/>
        </w:rPr>
      </w:pPr>
      <w:r w:rsidRPr="00D86D94">
        <w:rPr>
          <w:rFonts w:cs="Calibri"/>
          <w:sz w:val="20"/>
          <w:szCs w:val="20"/>
          <w:shd w:val="clear" w:color="auto" w:fill="FFFFFF"/>
        </w:rPr>
        <w:t>-</w:t>
      </w:r>
      <w:r w:rsidRPr="00D86D94">
        <w:rPr>
          <w:rFonts w:cs="Calibri"/>
          <w:sz w:val="20"/>
          <w:szCs w:val="20"/>
          <w:shd w:val="clear" w:color="auto" w:fill="FFFFFF"/>
        </w:rPr>
        <w:tab/>
        <w:t>aki ennél többször ismétel egy évfolyamot annak a díjalap 100%-át kell fizetnie</w:t>
      </w:r>
    </w:p>
    <w:p w:rsidR="000C7F5E" w:rsidRPr="00D86D94" w:rsidRDefault="000C7F5E" w:rsidP="00D86D94">
      <w:pPr>
        <w:rPr>
          <w:rFonts w:cs="Calibri"/>
          <w:sz w:val="20"/>
          <w:szCs w:val="20"/>
          <w:shd w:val="clear" w:color="auto" w:fill="FFFFFF"/>
        </w:rPr>
      </w:pPr>
      <w:r w:rsidRPr="00D86D94">
        <w:rPr>
          <w:rFonts w:cs="Calibri"/>
          <w:sz w:val="20"/>
          <w:szCs w:val="20"/>
          <w:shd w:val="clear" w:color="auto" w:fill="FFFFFF"/>
        </w:rPr>
        <w:t>-</w:t>
      </w:r>
      <w:r w:rsidRPr="00D86D94">
        <w:rPr>
          <w:rFonts w:cs="Calibri"/>
          <w:sz w:val="20"/>
          <w:szCs w:val="20"/>
          <w:shd w:val="clear" w:color="auto" w:fill="FFFFFF"/>
        </w:rPr>
        <w:tab/>
        <w:t>második, ill. további szakképesítésre való felkészülés esetén a szakképzésre vonatkozó díjalap fizetendő, mely a tanulmányi eredmény figyelembe vé</w:t>
      </w:r>
      <w:r>
        <w:rPr>
          <w:rFonts w:cs="Calibri"/>
          <w:sz w:val="20"/>
          <w:szCs w:val="20"/>
          <w:shd w:val="clear" w:color="auto" w:fill="FFFFFF"/>
        </w:rPr>
        <w:t>telével csökkenthető:</w:t>
      </w:r>
    </w:p>
    <w:p w:rsidR="000C7F5E" w:rsidRPr="00D86D94" w:rsidRDefault="000C7F5E" w:rsidP="00D86D94">
      <w:pPr>
        <w:rPr>
          <w:rFonts w:cs="Calibri"/>
          <w:sz w:val="20"/>
          <w:szCs w:val="20"/>
          <w:shd w:val="clear" w:color="auto" w:fill="FFFFFF"/>
        </w:rPr>
      </w:pPr>
      <w:r w:rsidRPr="00D86D94">
        <w:rPr>
          <w:rFonts w:cs="Calibri"/>
          <w:sz w:val="20"/>
          <w:szCs w:val="20"/>
          <w:shd w:val="clear" w:color="auto" w:fill="FFFFFF"/>
        </w:rPr>
        <w:t>- 4, 5-5 között 20%</w:t>
      </w:r>
    </w:p>
    <w:p w:rsidR="000C7F5E" w:rsidRPr="00D86D94" w:rsidRDefault="000C7F5E" w:rsidP="00D86D94">
      <w:pPr>
        <w:rPr>
          <w:rFonts w:cs="Calibri"/>
          <w:sz w:val="20"/>
          <w:szCs w:val="20"/>
          <w:shd w:val="clear" w:color="auto" w:fill="FFFFFF"/>
        </w:rPr>
      </w:pPr>
      <w:r w:rsidRPr="00D86D94">
        <w:rPr>
          <w:rFonts w:cs="Calibri"/>
          <w:sz w:val="20"/>
          <w:szCs w:val="20"/>
          <w:shd w:val="clear" w:color="auto" w:fill="FFFFFF"/>
        </w:rPr>
        <w:t>- 3, 3 és 4,4 között 40 %</w:t>
      </w:r>
    </w:p>
    <w:p w:rsidR="000C7F5E" w:rsidRPr="00D86D94" w:rsidRDefault="000C7F5E" w:rsidP="00D86D94">
      <w:pPr>
        <w:rPr>
          <w:rFonts w:cs="Calibri"/>
          <w:sz w:val="20"/>
          <w:szCs w:val="20"/>
          <w:shd w:val="clear" w:color="auto" w:fill="FFFFFF"/>
        </w:rPr>
      </w:pPr>
      <w:r w:rsidRPr="00D86D94">
        <w:rPr>
          <w:rFonts w:cs="Calibri"/>
          <w:sz w:val="20"/>
          <w:szCs w:val="20"/>
          <w:shd w:val="clear" w:color="auto" w:fill="FFFFFF"/>
        </w:rPr>
        <w:t>-2,5 és 3, 4 között 60 %</w:t>
      </w:r>
    </w:p>
    <w:p w:rsidR="000C7F5E" w:rsidRPr="00D86D94" w:rsidRDefault="000C7F5E" w:rsidP="00D86D94">
      <w:pPr>
        <w:rPr>
          <w:rFonts w:cs="Calibri"/>
          <w:sz w:val="20"/>
          <w:szCs w:val="20"/>
          <w:shd w:val="clear" w:color="auto" w:fill="FFFFFF"/>
        </w:rPr>
      </w:pPr>
      <w:r>
        <w:rPr>
          <w:rFonts w:cs="Calibri"/>
          <w:sz w:val="20"/>
          <w:szCs w:val="20"/>
          <w:shd w:val="clear" w:color="auto" w:fill="FFFFFF"/>
        </w:rPr>
        <w:t>- 2-2, 4 között 80%</w:t>
      </w:r>
    </w:p>
    <w:p w:rsidR="000C7F5E" w:rsidRPr="00D86D94" w:rsidRDefault="000C7F5E" w:rsidP="00D86D94">
      <w:pPr>
        <w:rPr>
          <w:rFonts w:cs="Calibri"/>
          <w:sz w:val="20"/>
          <w:szCs w:val="20"/>
          <w:shd w:val="clear" w:color="auto" w:fill="FFFFFF"/>
        </w:rPr>
      </w:pPr>
      <w:r w:rsidRPr="00D86D94">
        <w:rPr>
          <w:rFonts w:cs="Calibri"/>
          <w:sz w:val="20"/>
          <w:szCs w:val="20"/>
          <w:shd w:val="clear" w:color="auto" w:fill="FFFFFF"/>
        </w:rPr>
        <w:t>Tanulmányi átlag megállapításánál az összes tanult tárgy év végi ere</w:t>
      </w:r>
      <w:r>
        <w:rPr>
          <w:rFonts w:cs="Calibri"/>
          <w:sz w:val="20"/>
          <w:szCs w:val="20"/>
          <w:shd w:val="clear" w:color="auto" w:fill="FFFFFF"/>
        </w:rPr>
        <w:t xml:space="preserve">dményét kell figyelembe venni. </w:t>
      </w:r>
    </w:p>
    <w:p w:rsidR="000C7F5E" w:rsidRPr="00D86D94" w:rsidRDefault="000C7F5E" w:rsidP="00D86D94">
      <w:pPr>
        <w:rPr>
          <w:rFonts w:cs="Calibri"/>
          <w:sz w:val="20"/>
          <w:szCs w:val="20"/>
          <w:shd w:val="clear" w:color="auto" w:fill="FFFFFF"/>
        </w:rPr>
      </w:pPr>
      <w:r w:rsidRPr="00D86D94">
        <w:rPr>
          <w:rFonts w:cs="Calibri"/>
          <w:sz w:val="20"/>
          <w:szCs w:val="20"/>
          <w:shd w:val="clear" w:color="auto" w:fill="FFFFFF"/>
        </w:rPr>
        <w:t>A megállapított térítési díj, tandíj mértékét a KLIK szabályzatában rögzített feltételek mellett a szociális helyzet alapján lehet csökkenteni, melyre</w:t>
      </w:r>
      <w:r>
        <w:rPr>
          <w:rFonts w:cs="Calibri"/>
          <w:sz w:val="20"/>
          <w:szCs w:val="20"/>
          <w:shd w:val="clear" w:color="auto" w:fill="FFFFFF"/>
        </w:rPr>
        <w:t xml:space="preserve"> a jogosultságot igazolni kell.</w:t>
      </w:r>
    </w:p>
    <w:p w:rsidR="000C7F5E" w:rsidRPr="00D86D94" w:rsidRDefault="000C7F5E" w:rsidP="00D86D94">
      <w:pPr>
        <w:rPr>
          <w:rFonts w:cs="Calibri"/>
          <w:sz w:val="20"/>
          <w:szCs w:val="20"/>
          <w:shd w:val="clear" w:color="auto" w:fill="FFFFFF"/>
        </w:rPr>
      </w:pPr>
      <w:r w:rsidRPr="00D86D94">
        <w:rPr>
          <w:rFonts w:cs="Calibri"/>
          <w:sz w:val="20"/>
          <w:szCs w:val="20"/>
          <w:shd w:val="clear" w:color="auto" w:fill="FFFFFF"/>
        </w:rPr>
        <w:t>A térítési díj befizetése félévenként történik, melynek pontos időpontját az intézmény vezetője rögzíti, a jogszabályok figyelembevételével.</w:t>
      </w:r>
    </w:p>
    <w:p w:rsidR="000C7F5E" w:rsidRDefault="000C7F5E" w:rsidP="00FA21D5">
      <w:pPr>
        <w:rPr>
          <w:rFonts w:cs="Calibri"/>
          <w:sz w:val="20"/>
          <w:szCs w:val="20"/>
          <w:shd w:val="clear" w:color="auto" w:fill="FFFFFF"/>
        </w:rPr>
      </w:pPr>
    </w:p>
    <w:p w:rsidR="000C7F5E" w:rsidRDefault="000C7F5E" w:rsidP="003B7C61">
      <w:pPr>
        <w:jc w:val="center"/>
        <w:rPr>
          <w:rFonts w:cs="Calibri"/>
          <w:b/>
          <w:sz w:val="20"/>
          <w:szCs w:val="20"/>
        </w:rPr>
      </w:pPr>
      <w:r w:rsidRPr="004E70CA">
        <w:rPr>
          <w:rFonts w:cs="Calibri"/>
          <w:b/>
          <w:sz w:val="20"/>
          <w:szCs w:val="20"/>
        </w:rPr>
        <w:t>A Klebelsberg Intézményfenntartó Központ Térítési- és Tan</w:t>
      </w:r>
      <w:r>
        <w:rPr>
          <w:rFonts w:cs="Calibri"/>
          <w:b/>
          <w:sz w:val="20"/>
          <w:szCs w:val="20"/>
        </w:rPr>
        <w:t>díjszámítási Szabályzata</w:t>
      </w:r>
      <w:r w:rsidRPr="004E70CA">
        <w:rPr>
          <w:rFonts w:cs="Calibri"/>
          <w:b/>
          <w:sz w:val="20"/>
          <w:szCs w:val="20"/>
        </w:rPr>
        <w:t>: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1. A térítési díj és a tandíj alapja</w:t>
      </w:r>
    </w:p>
    <w:p w:rsidR="000C7F5E" w:rsidRPr="00D86D94" w:rsidRDefault="000C7F5E" w:rsidP="00D86D94">
      <w:pPr>
        <w:spacing w:line="240" w:lineRule="auto"/>
        <w:jc w:val="center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3. §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(l) A jelen szabályzat 1. § (2) bekezdésében meghatározott intézményben a tanévre fizetendő térítési díj és a tandíj meghatározásának alapja az l. függelékben meghatározott díjalap.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(2) A KLIK Elnöke legkésőbb minden év május 31-ig meghatározza a következő t</w:t>
      </w:r>
      <w:r>
        <w:rPr>
          <w:rFonts w:cs="Calibri"/>
          <w:sz w:val="20"/>
          <w:szCs w:val="20"/>
        </w:rPr>
        <w:t xml:space="preserve">anévben alkalmazandó </w:t>
      </w:r>
      <w:r w:rsidRPr="00D86D94">
        <w:rPr>
          <w:rFonts w:cs="Calibri"/>
          <w:sz w:val="20"/>
          <w:szCs w:val="20"/>
        </w:rPr>
        <w:t>díjalapot.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2. A térítési díj és a tandíj mértéke</w:t>
      </w:r>
    </w:p>
    <w:p w:rsidR="000C7F5E" w:rsidRPr="00D86D94" w:rsidRDefault="000C7F5E" w:rsidP="00D86D94">
      <w:pPr>
        <w:spacing w:line="240" w:lineRule="auto"/>
        <w:jc w:val="center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4.§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(l) Az alapfokú művészeti iskolában térítési díjat kell fizetni, amelynek mértéke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a) a tanév első napján a 18. életévét be nem töltött tanuló esetében a díjalap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aa) 5%-a 4,6 és 5 közötti tanulmányi átlag,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ab) 6%-a 4,1 és 4,5 közötti tanulmányi átlag,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ac) 8%-a 3,6 és 4 közötti tanulmányi átlag,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ad) 10%-a 3,1 és 3,5 közötti tanulmányi átlag,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ae) 15%-a 2 és 3 közötti tanulmányi átlag,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aj) 20%-a elégtelen tanulmányi eredmény esetén;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b) a tanév első napján a 18. életévét betöltött, de a 22. életévét be nem töltött tanuló esetében a díjalap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ba) 15%-a 4,5 és 5 közötti tanulmányi átlag,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bb) 16%-a 3,5 és 4,4 közötti tanulmányi átlag,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be) 18%-a 2,5 és 3,4 közötti tanulmányi átlag,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bd) 30%-a 2 és 2,4 közötti tanulmányi átlag,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be) 40%-a elégtelen tanulmányi eredmény esetén.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(2) A nem tanköteles tanulónak az iskolában a tanulmányi követelmények nem teljesítése miatt az évfolyam második alkalommal történő megismétlésekor díjat kell fizetnie, amelynek mértéke a díjalap 20%-a.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(3) Vendégtanulói jogviszony létesítése esetén díjat kell fizetni, amelynek mértéke a díjalap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a) 3%-a 4,6 és 5 közötti tanulmányi átlag,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b) 4%-a 4,1 és 4,5 közötti tanulmányi átlag,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c) 10%-a 3,6 és 4 közötti tanulmányi átlag,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d) 15%-a 3,1 és 3,5 közötti tanulmányi átlag,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e) 20%-a 2 és 3 közötti tanulmányi átlag,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j) 30%-a elégtelen tanulmányi eredmény esetén.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(4) A független vizsgáért díjat kell fizetni, amelynek mértéke tantárgyanként a kötelező legkisebb munkabér (minimálbér) 3,75 %-a.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(5) A R. 35. § (4) bekezdésében meghatározott vizsgázónak a középszintű érettségi vizsgára jelentkezés esetén – függetlenül a vizsga típusától – az adott évre érvényes kötelező legkisebb munkabér (minimálbér) 15%-a.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(6) A R. 34. § (1) bekezdés f) pontjában meghatározott vizsgázónak a szakmai vizsga esetén díjat kell fizetnie, amelynek mértéke a szakképzésért felelős miniszter által kiadott rendeletben meghatározott vizsgadíj és vizsgáztatási díj együttes összege egy tanulóra jutó hányadának 100%-a.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 xml:space="preserve">(7) A R. 33. § -ában meg nem határozott egyéb foglalkozásokért díjat kell fizetni, amelynek mértéke a díjalap 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a) 15%-a 4,6 és 5 közötti tanulmányi átlag,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b) 16%-a 4,1 és 4,5 közötti tanulmányi átlag,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c) 17%-a 3,6 és 4 közötti tanulmányi átlag,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d) 18%-a 3,1 és 3,5 közötti tanulmányi átlag,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e) 19%-a 2 és 3 közötti tanulmányi átlag,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j) 20%-a elégtelen tanulmányi eredmény esetén.</w:t>
      </w:r>
    </w:p>
    <w:p w:rsidR="000C7F5E" w:rsidRPr="00D86D94" w:rsidRDefault="000C7F5E" w:rsidP="00D86D94">
      <w:pPr>
        <w:spacing w:line="240" w:lineRule="auto"/>
        <w:jc w:val="center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5.§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(l) Az alapfokú művészeti iskolában tandíjat kell fizetni, amelynek mértéke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a) a R. 36. § (l) bekezdés a) pontjában meghatározottat meghaladó számú tanórai foglalkozásért a tanév első napján a 18. életévét be nem töltött tanuló esetében a díjalap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aa) 15%-a 4,5 és 5 közötti tanulmányi átlag,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ab) 20%-a 3,5 és 4,4 közötti tanulmányi átlag,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ac) 25%-a 2,5 és 3,4 közötti tanulmányi átlag,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ad) 30%-a 2 és 2,4 közötti tanulmányi átlag,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ae) 40%-a elégtelen tanulmányi eredmény esetén;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 xml:space="preserve">b) a R. 36. § (l) bekezdés a) pontjában meghatározottak szerint </w:t>
      </w:r>
      <w:r>
        <w:rPr>
          <w:rFonts w:cs="Calibri"/>
          <w:sz w:val="20"/>
          <w:szCs w:val="20"/>
        </w:rPr>
        <w:t xml:space="preserve">- </w:t>
      </w:r>
      <w:r w:rsidRPr="00D86D94">
        <w:rPr>
          <w:rFonts w:cs="Calibri"/>
          <w:sz w:val="20"/>
          <w:szCs w:val="20"/>
        </w:rPr>
        <w:t xml:space="preserve">kivéve a tanulmányi követelmények nem teljesítése miatt az évfolyam második, vagy további megismétlését – a díjalap 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ba) 20%-a 4,5 és 5 közötti tanulmányi átlag,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bb) 25%-a 3,5 és 4,4 közötti tanulmányi átlag,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be) 30%-a 2,5 és 3,4 közötti tanulmányi átlag,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bd) 35%-a 2,0 és 2,4 közötti tanulmányi átlag,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be) 40%-a elégtelen tanulmányi eredmény esetén;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 xml:space="preserve">c) a tanulmányi követelmények nem teljesítése miatt az évfolyam második, vagy további megismétlése esetén a díjalap 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ca) 40%-a.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d) a középfokú iskolában a tanulmányi követelmények nem teljesítése miatt az évfolyam harmadik vagy további alkalommal történő megismétlése miatt a díjalap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da) 6%-a tanköteles tanuló,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db) 25%-a nem tanköteles tanuló esetén.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(2) A R. 36. § (1) bekezdés b) pontjában meghatározott nevelési-oktatási intézményben a pedagógiai programhoz nem kapcsolódó nevelés és oktatás, valamint az ezzel összefüggő más szolgáltatás esetében a díjalap 100 %-a,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(3) A R. 36. § (1) bekezdés c) pontjában meghatározott középfokú iskolában a tanulmányi követelmények nem teljesítése miatt az évfolyam harmadik és további alkalommal történő megismétlése esetén tandíjat kell fizetni, melynek mértéke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a) az évfolyam harmadik alkalommal történő megismétlése esetében a díjalap 50%-a,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b) az évfolyam további alkalommal történő megismétlése esetében a díjalap 100%-a.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(4) A R. 36. § (1) bekezdés d) pontjában meghatározott a tanulói jogviszony keretében a második vagy további szakképesítésre való felkészülés, beleértve a második vagy további szakmai vizsga, annak javító- és pótló vizsgája esetében a díjalap 100 %-a.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(5) A nem a nappali oktatás munkarendje szerint szervezett felnőttoktatás keretében résztvevő 19. életévét betöltő tanulónak a díjalap: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a) 5%-a 4,5 és 5 közötti tanulmányi átlag,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b) 8%-a 3,5 és 4,4 közötti tanulmányi átlag,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c) 12%-a 2,5 és 3,4 közötti tanulmányi átlag,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d) 17%-a 2,0 és 2,4 közötti tanulmányi átlag,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e) 20%-a elégtelen tanulmányi eredmény esetén.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(6) a R. 36. § (1a) bekezdésében meghatározott kollégiumi szolgáltatás igénybevétele esetén: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ga)az óvodás gyermek esetén a díjalap 100%-a.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gb) tanuló esetén mértéke azonos az iskolai térítési díjjal,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gc) nem a nappali oktatás munkarendje szerint szervezett felnőttoktatás keretében résztvevő 19. életévét betöltött tanuló esetén mértéke azonos az iskolai térítési díjjal.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(7) A nemzeti köznevelésről szóló 2011. évi CXC. törvény 92. § (7) bekezdésében maghatározott nem magyar állampolgárnak tandíjat kell fizetnie, amelynek mértéke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a) az általános iskolában, az alapfokú művészeti iskolában és a középfokú iskolában a díjalap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aa) 20%-a 4,5 és 5 közötti tanulmányi átlag,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ab) 40%-a 3,5 és 4,4 közötti tanulmányi átlag,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ac) 60%-a 2,5 és 3,4 közötti tanulmányi átlag,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ad) 80%-a 2,0 és 2,4 közötti tanulmányi átlag,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ae) l00%-a elégtelen tanulmányi eredmény esetén;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b) az óvodában a díjalap 100%-a.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3. A térítésidíj- és tandíjkedvezmény</w:t>
      </w:r>
    </w:p>
    <w:p w:rsidR="000C7F5E" w:rsidRPr="00D86D94" w:rsidRDefault="000C7F5E" w:rsidP="00D86D94">
      <w:pPr>
        <w:spacing w:line="240" w:lineRule="auto"/>
        <w:jc w:val="center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6.§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(l) A gyermeket, tanulót, illetve kollégiumi szolgáltatást igénybe vevőt a szociális helyzete alapján térítésidíj-, illetve tandíjkedvezmény illeti meg. Ha a gyermek, a tanuló, illetve a kollégiumi szolgáltatást igénybe vevő törvényes képviselője háztartásában az egy főre jutó nettó jövedelem a mindenkori legkisebb öregségi nyugdíj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a) 131% -135%-a, a fizetendő díj a 3., illetve a 4. §-ban meghatározott díj l %-a,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b) 136% -140%-a, a fizetendő díj a 3., illetve a 4. §-ban meghatározott díj 20%-a,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c) 141% -150%-a, a fizetendő díj a 3., illetve a 4. §-ban meghatározott díj 30%-a,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d) 151% -160%-a, a fizetendő díj a 3., illetve a 4. §-ban meghatározott díj 40%-a,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e) 161% -170%-a, a fizetendő díj a 3., illetve a 4. §-ban meghatározott díj 50%-a,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J) 171% -180%-a, a fizetendő díj a 3., illetve a 4. §-ban meghatározott díj 60%-a,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g) 181% -190%-a, a fizetendő díj a 3., illetve a 4. §-ban meghatározott díj 70%-a,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h) 191% -200%-a, a fizetendő díj a 3., illetve a 4. §-ban meghatározott díj 80%-a,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i) 201% -210%-a, a fizetendő díj a 3., illetve a 4. §-ban meghatározott dij 90%-a.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(2) Az (l) bekezdésben meghatározott díjkedvezményre való jogosultságot okirattal kell igazolni.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(3) Az (l) bekezdésben meghatározott díjkedvezmény iránti kérelmet tanévenként kétszer az intézmény vezetője bírálja el.</w:t>
      </w:r>
    </w:p>
    <w:p w:rsidR="000C7F5E" w:rsidRPr="00D86D94" w:rsidRDefault="000C7F5E" w:rsidP="00D86D94">
      <w:pPr>
        <w:spacing w:line="240" w:lineRule="auto"/>
        <w:rPr>
          <w:rFonts w:cs="Calibri"/>
          <w:sz w:val="20"/>
          <w:szCs w:val="20"/>
        </w:rPr>
      </w:pPr>
      <w:r w:rsidRPr="00D86D94">
        <w:rPr>
          <w:rFonts w:cs="Calibri"/>
          <w:sz w:val="20"/>
          <w:szCs w:val="20"/>
        </w:rPr>
        <w:t>(4) A díjkedvezmény iránti kérelmet egy példányban az intézmény vezetőjéhez kell benyújtani minden év 2014. október l-jéig.</w:t>
      </w:r>
    </w:p>
    <w:p w:rsidR="000C7F5E" w:rsidRPr="004E70CA" w:rsidRDefault="000C7F5E" w:rsidP="004E70CA">
      <w:pPr>
        <w:rPr>
          <w:rFonts w:cs="Calibri"/>
          <w:b/>
          <w:sz w:val="20"/>
          <w:szCs w:val="20"/>
        </w:rPr>
      </w:pPr>
    </w:p>
    <w:p w:rsidR="000C7F5E" w:rsidRPr="004E70CA" w:rsidRDefault="000C7F5E" w:rsidP="004E70CA">
      <w:pPr>
        <w:rPr>
          <w:rFonts w:cs="Calibri"/>
          <w:b/>
          <w:sz w:val="20"/>
          <w:szCs w:val="20"/>
        </w:rPr>
      </w:pPr>
    </w:p>
    <w:p w:rsidR="000C7F5E" w:rsidRDefault="000C7F5E" w:rsidP="00FA21D5">
      <w:pPr>
        <w:rPr>
          <w:rFonts w:cs="Calibri"/>
          <w:sz w:val="20"/>
          <w:szCs w:val="20"/>
        </w:rPr>
      </w:pPr>
    </w:p>
    <w:p w:rsidR="000C7F5E" w:rsidRDefault="000C7F5E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</w:p>
    <w:p w:rsidR="000C7F5E" w:rsidRDefault="000C7F5E" w:rsidP="003448CD">
      <w:pPr>
        <w:pStyle w:val="Norma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Tahoma" w:hAnsi="Tahoma" w:cs="Tahoma"/>
          <w:color w:val="222222"/>
        </w:rPr>
      </w:pPr>
      <w:r>
        <w:rPr>
          <w:rFonts w:ascii="Tahoma" w:hAnsi="Tahoma" w:cs="Tahoma"/>
          <w:b/>
          <w:bCs/>
          <w:color w:val="222222"/>
        </w:rPr>
        <w:t>229/2012. (VIII. 28.) Korm. rendelet</w:t>
      </w:r>
    </w:p>
    <w:p w:rsidR="000C7F5E" w:rsidRDefault="000C7F5E" w:rsidP="003448CD">
      <w:pPr>
        <w:pStyle w:val="Norma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Tahoma" w:hAnsi="Tahoma" w:cs="Tahoma"/>
          <w:color w:val="222222"/>
        </w:rPr>
      </w:pPr>
      <w:r>
        <w:rPr>
          <w:rFonts w:ascii="Tahoma" w:hAnsi="Tahoma" w:cs="Tahoma"/>
          <w:b/>
          <w:bCs/>
          <w:color w:val="222222"/>
        </w:rPr>
        <w:t>a nemzeti köznevelésről szóló törvény végrehajtásáról</w:t>
      </w:r>
    </w:p>
    <w:p w:rsidR="000C7F5E" w:rsidRPr="00B159D4" w:rsidRDefault="000C7F5E" w:rsidP="003448CD">
      <w:pPr>
        <w:pStyle w:val="NormalWeb"/>
        <w:shd w:val="clear" w:color="auto" w:fill="FFFFFF"/>
        <w:spacing w:before="300" w:beforeAutospacing="0" w:after="300" w:afterAutospacing="0"/>
        <w:ind w:right="150"/>
        <w:jc w:val="center"/>
        <w:rPr>
          <w:rFonts w:ascii="Tahoma" w:hAnsi="Tahoma" w:cs="Tahoma"/>
          <w:color w:val="222222"/>
          <w:sz w:val="20"/>
          <w:szCs w:val="20"/>
        </w:rPr>
      </w:pPr>
      <w:r w:rsidRPr="00B159D4">
        <w:rPr>
          <w:rFonts w:ascii="Tahoma" w:hAnsi="Tahoma" w:cs="Tahoma"/>
          <w:bCs/>
          <w:color w:val="222222"/>
          <w:sz w:val="20"/>
          <w:szCs w:val="20"/>
        </w:rPr>
        <w:t>10. A tájékoztató rendszer és a köznevelési intézmények közzétételi listája</w:t>
      </w:r>
    </w:p>
    <w:p w:rsidR="000C7F5E" w:rsidRDefault="000C7F5E" w:rsidP="003448CD">
      <w:r w:rsidRPr="00B159D4">
        <w:t>23. § (1)</w:t>
      </w:r>
    </w:p>
    <w:p w:rsidR="000C7F5E" w:rsidRPr="003448CD" w:rsidRDefault="000C7F5E" w:rsidP="00A7434E">
      <w:pPr>
        <w:pStyle w:val="Heading1"/>
      </w:pPr>
      <w:bookmarkStart w:id="11" w:name="_Toc408144460"/>
      <w:r w:rsidRPr="003448CD">
        <w:rPr>
          <w:i/>
          <w:iCs/>
          <w:shd w:val="clear" w:color="auto" w:fill="FFFFFF"/>
        </w:rPr>
        <w:t>d) </w:t>
      </w:r>
      <w:r w:rsidRPr="003448CD">
        <w:rPr>
          <w:shd w:val="clear" w:color="auto" w:fill="FFFFFF"/>
        </w:rPr>
        <w:t>a fenntartó nevelési-oktatási intézmény munkájával összefüggő értékel</w:t>
      </w:r>
      <w:r>
        <w:rPr>
          <w:shd w:val="clear" w:color="auto" w:fill="FFFFFF"/>
        </w:rPr>
        <w:t>ésének nyilvános megállapításai és ideje</w:t>
      </w:r>
      <w:r w:rsidRPr="003448CD">
        <w:rPr>
          <w:shd w:val="clear" w:color="auto" w:fill="FFFFFF"/>
        </w:rPr>
        <w:t>, a köznevelési alapfeladattal kapcsolatos - nyilvános megállapításokat tartalmazó - vizsgá</w:t>
      </w:r>
      <w:r>
        <w:rPr>
          <w:shd w:val="clear" w:color="auto" w:fill="FFFFFF"/>
        </w:rPr>
        <w:t>latok, ellenőrzések felsorolása, ideje</w:t>
      </w:r>
      <w:r w:rsidRPr="003448CD">
        <w:rPr>
          <w:shd w:val="clear" w:color="auto" w:fill="FFFFFF"/>
        </w:rPr>
        <w:t>, az Állami Számvevőszék ellenőrzé</w:t>
      </w:r>
      <w:r>
        <w:rPr>
          <w:shd w:val="clear" w:color="auto" w:fill="FFFFFF"/>
        </w:rPr>
        <w:t>seinek nyilvános megállapításai</w:t>
      </w:r>
      <w:r w:rsidRPr="003448CD">
        <w:rPr>
          <w:shd w:val="clear" w:color="auto" w:fill="FFFFFF"/>
        </w:rPr>
        <w:t>, egyéb ellenőrzések, vizs</w:t>
      </w:r>
      <w:r>
        <w:rPr>
          <w:shd w:val="clear" w:color="auto" w:fill="FFFFFF"/>
        </w:rPr>
        <w:t>gálatok nyilvános megállapításai</w:t>
      </w:r>
      <w:bookmarkEnd w:id="11"/>
    </w:p>
    <w:p w:rsidR="000C7F5E" w:rsidRDefault="000C7F5E" w:rsidP="003448CD"/>
    <w:p w:rsidR="000C7F5E" w:rsidRDefault="000C7F5E" w:rsidP="00FA21D5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Értesítés a fenntartói ellenőrzés lezárásáról 2014. október 09.         IKSZ: 583/2014</w:t>
      </w:r>
    </w:p>
    <w:p w:rsidR="000C7F5E" w:rsidRDefault="000C7F5E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</w:p>
    <w:p w:rsidR="000C7F5E" w:rsidRDefault="000C7F5E" w:rsidP="003448CD">
      <w:pPr>
        <w:pStyle w:val="Norma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Tahoma" w:hAnsi="Tahoma" w:cs="Tahoma"/>
          <w:color w:val="222222"/>
        </w:rPr>
      </w:pPr>
      <w:r>
        <w:rPr>
          <w:rFonts w:ascii="Tahoma" w:hAnsi="Tahoma" w:cs="Tahoma"/>
          <w:b/>
          <w:bCs/>
          <w:color w:val="222222"/>
        </w:rPr>
        <w:t>229/2012. (VIII. 28.) Korm. rendelet</w:t>
      </w:r>
    </w:p>
    <w:p w:rsidR="000C7F5E" w:rsidRDefault="000C7F5E" w:rsidP="003448CD">
      <w:pPr>
        <w:pStyle w:val="Norma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Tahoma" w:hAnsi="Tahoma" w:cs="Tahoma"/>
          <w:color w:val="222222"/>
        </w:rPr>
      </w:pPr>
      <w:r>
        <w:rPr>
          <w:rFonts w:ascii="Tahoma" w:hAnsi="Tahoma" w:cs="Tahoma"/>
          <w:b/>
          <w:bCs/>
          <w:color w:val="222222"/>
        </w:rPr>
        <w:t>a nemzeti köznevelésről szóló törvény végrehajtásáról</w:t>
      </w:r>
    </w:p>
    <w:p w:rsidR="000C7F5E" w:rsidRPr="00B159D4" w:rsidRDefault="000C7F5E" w:rsidP="003448CD">
      <w:pPr>
        <w:pStyle w:val="NormalWeb"/>
        <w:shd w:val="clear" w:color="auto" w:fill="FFFFFF"/>
        <w:spacing w:before="300" w:beforeAutospacing="0" w:after="300" w:afterAutospacing="0"/>
        <w:ind w:right="150"/>
        <w:jc w:val="center"/>
        <w:rPr>
          <w:rFonts w:ascii="Tahoma" w:hAnsi="Tahoma" w:cs="Tahoma"/>
          <w:color w:val="222222"/>
          <w:sz w:val="20"/>
          <w:szCs w:val="20"/>
        </w:rPr>
      </w:pPr>
      <w:r w:rsidRPr="00B159D4">
        <w:rPr>
          <w:rFonts w:ascii="Tahoma" w:hAnsi="Tahoma" w:cs="Tahoma"/>
          <w:bCs/>
          <w:color w:val="222222"/>
          <w:sz w:val="20"/>
          <w:szCs w:val="20"/>
        </w:rPr>
        <w:t>10. A tájékoztató rendszer és a köznevelési intézmények közzétételi listája</w:t>
      </w:r>
    </w:p>
    <w:p w:rsidR="000C7F5E" w:rsidRDefault="000C7F5E" w:rsidP="003448CD">
      <w:r w:rsidRPr="00B159D4">
        <w:t>23. § (1)</w:t>
      </w:r>
    </w:p>
    <w:p w:rsidR="000C7F5E" w:rsidRPr="00DE3C30" w:rsidRDefault="000C7F5E" w:rsidP="00A7434E">
      <w:pPr>
        <w:pStyle w:val="Heading1"/>
      </w:pPr>
      <w:bookmarkStart w:id="12" w:name="_Toc408144461"/>
      <w:r w:rsidRPr="00DE3C30">
        <w:rPr>
          <w:i/>
          <w:iCs/>
          <w:shd w:val="clear" w:color="auto" w:fill="FFFFFF"/>
        </w:rPr>
        <w:t>e) </w:t>
      </w:r>
      <w:r w:rsidRPr="00DE3C30">
        <w:rPr>
          <w:shd w:val="clear" w:color="auto" w:fill="FFFFFF"/>
        </w:rPr>
        <w:t>a nevelési-oktatási int</w:t>
      </w:r>
      <w:r>
        <w:rPr>
          <w:shd w:val="clear" w:color="auto" w:fill="FFFFFF"/>
        </w:rPr>
        <w:t>ézmény nyitva tartásának rendje</w:t>
      </w:r>
      <w:r w:rsidRPr="00DE3C30">
        <w:rPr>
          <w:shd w:val="clear" w:color="auto" w:fill="FFFFFF"/>
        </w:rPr>
        <w:t>, éves munkaterv alapján a nevelési évben, tanévben tervezett jelentősebb ren</w:t>
      </w:r>
      <w:r>
        <w:rPr>
          <w:shd w:val="clear" w:color="auto" w:fill="FFFFFF"/>
        </w:rPr>
        <w:t>dezvények, események időpontjai:</w:t>
      </w:r>
      <w:bookmarkEnd w:id="12"/>
    </w:p>
    <w:p w:rsidR="000C7F5E" w:rsidRPr="00E06863" w:rsidRDefault="000C7F5E" w:rsidP="00E06863">
      <w:pPr>
        <w:rPr>
          <w:rFonts w:cs="Calibri"/>
          <w:sz w:val="20"/>
          <w:szCs w:val="20"/>
        </w:rPr>
      </w:pPr>
      <w:r w:rsidRPr="00E06863">
        <w:rPr>
          <w:rFonts w:cs="Calibri"/>
          <w:sz w:val="20"/>
          <w:szCs w:val="20"/>
        </w:rPr>
        <w:t xml:space="preserve">Az intézmény nyitva tartása </w:t>
      </w:r>
    </w:p>
    <w:p w:rsidR="000C7F5E" w:rsidRDefault="000C7F5E" w:rsidP="00E06863">
      <w:pPr>
        <w:rPr>
          <w:rFonts w:cs="Calibri"/>
          <w:sz w:val="20"/>
          <w:szCs w:val="20"/>
        </w:rPr>
      </w:pPr>
      <w:r w:rsidRPr="00E06863">
        <w:rPr>
          <w:rFonts w:cs="Calibri"/>
          <w:sz w:val="20"/>
          <w:szCs w:val="20"/>
        </w:rPr>
        <w:t>Az isk</w:t>
      </w:r>
      <w:r>
        <w:rPr>
          <w:rFonts w:cs="Calibri"/>
          <w:sz w:val="20"/>
          <w:szCs w:val="20"/>
        </w:rPr>
        <w:t>ola szorgalmi időben reggel 6</w:t>
      </w:r>
      <w:r w:rsidRPr="00E06863">
        <w:rPr>
          <w:rFonts w:cs="Calibri"/>
          <w:sz w:val="20"/>
          <w:szCs w:val="20"/>
        </w:rPr>
        <w:t xml:space="preserve"> órától a szervezett foglalkoz</w:t>
      </w:r>
      <w:r>
        <w:rPr>
          <w:rFonts w:cs="Calibri"/>
          <w:sz w:val="20"/>
          <w:szCs w:val="20"/>
        </w:rPr>
        <w:t>ások befejezéséig, de 20</w:t>
      </w:r>
      <w:r w:rsidRPr="00E06863">
        <w:rPr>
          <w:rFonts w:cs="Calibri"/>
          <w:sz w:val="20"/>
          <w:szCs w:val="20"/>
        </w:rPr>
        <w:t>.00 óráig van nyitva.</w:t>
      </w:r>
    </w:p>
    <w:p w:rsidR="000C7F5E" w:rsidRDefault="000C7F5E">
      <w:pPr>
        <w:rPr>
          <w:rFonts w:cs="Calibri"/>
          <w:sz w:val="20"/>
          <w:szCs w:val="20"/>
        </w:rPr>
      </w:pPr>
      <w:r w:rsidRPr="007362AE">
        <w:rPr>
          <w:rFonts w:cs="Calibri"/>
          <w:sz w:val="20"/>
          <w:szCs w:val="20"/>
        </w:rPr>
        <w:t>Csengetési rend nappali tagozatokon (elméleti foglalkozásokon):</w:t>
      </w:r>
    </w:p>
    <w:p w:rsidR="000C7F5E" w:rsidRPr="00562183" w:rsidRDefault="000C7F5E" w:rsidP="007362AE">
      <w:pPr>
        <w:jc w:val="center"/>
        <w:rPr>
          <w:rFonts w:cs="Calibri"/>
          <w:sz w:val="20"/>
          <w:szCs w:val="20"/>
        </w:rPr>
      </w:pPr>
      <w:r w:rsidRPr="00562183">
        <w:rPr>
          <w:rFonts w:cs="Calibri"/>
          <w:sz w:val="20"/>
          <w:szCs w:val="20"/>
        </w:rPr>
        <w:t>NORMÁL CSENGETÉSI REND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25"/>
        <w:gridCol w:w="2199"/>
      </w:tblGrid>
      <w:tr w:rsidR="000C7F5E" w:rsidRPr="00562183" w:rsidTr="00EA35F1">
        <w:trPr>
          <w:trHeight w:hRule="exact" w:val="84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F5E" w:rsidRPr="00EA35F1" w:rsidRDefault="000C7F5E" w:rsidP="00562183">
            <w:pPr>
              <w:rPr>
                <w:rFonts w:cs="Calibri"/>
                <w:sz w:val="24"/>
                <w:szCs w:val="24"/>
              </w:rPr>
            </w:pPr>
            <w:r w:rsidRPr="00EA35F1">
              <w:rPr>
                <w:rFonts w:cs="Calibri"/>
                <w:sz w:val="24"/>
                <w:szCs w:val="24"/>
              </w:rPr>
              <w:t>A tanóra sorszáma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7F5E" w:rsidRPr="00EA35F1" w:rsidRDefault="000C7F5E" w:rsidP="00562183">
            <w:pPr>
              <w:rPr>
                <w:rFonts w:cs="Calibri"/>
                <w:sz w:val="24"/>
                <w:szCs w:val="24"/>
              </w:rPr>
            </w:pPr>
            <w:r w:rsidRPr="00EA35F1">
              <w:rPr>
                <w:rFonts w:cs="Calibri"/>
                <w:sz w:val="24"/>
                <w:szCs w:val="24"/>
              </w:rPr>
              <w:t>A tanóra időtartama</w:t>
            </w:r>
          </w:p>
        </w:tc>
      </w:tr>
      <w:tr w:rsidR="000C7F5E" w:rsidRPr="00562183" w:rsidTr="00EA35F1">
        <w:trPr>
          <w:trHeight w:hRule="exact" w:val="712"/>
          <w:jc w:val="center"/>
        </w:trPr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7F5E" w:rsidRPr="00EA35F1" w:rsidRDefault="000C7F5E" w:rsidP="00EA35F1">
            <w:pPr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7F5E" w:rsidRPr="00EA35F1" w:rsidRDefault="000C7F5E" w:rsidP="00562183">
            <w:pPr>
              <w:rPr>
                <w:rFonts w:cs="Calibri"/>
                <w:sz w:val="24"/>
                <w:szCs w:val="24"/>
              </w:rPr>
            </w:pPr>
            <w:r w:rsidRPr="00EA35F1">
              <w:rPr>
                <w:rFonts w:cs="Calibri"/>
                <w:sz w:val="24"/>
                <w:szCs w:val="24"/>
              </w:rPr>
              <w:t>07:00 – 07:40</w:t>
            </w:r>
          </w:p>
        </w:tc>
      </w:tr>
      <w:tr w:rsidR="000C7F5E" w:rsidRPr="00562183" w:rsidTr="00EA35F1">
        <w:trPr>
          <w:trHeight w:hRule="exact" w:val="716"/>
          <w:jc w:val="center"/>
        </w:trPr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0C7F5E" w:rsidRPr="00EA35F1" w:rsidRDefault="000C7F5E" w:rsidP="00EA35F1">
            <w:pPr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0C7F5E" w:rsidRPr="00EA35F1" w:rsidRDefault="000C7F5E" w:rsidP="00562183">
            <w:pPr>
              <w:rPr>
                <w:rFonts w:cs="Calibri"/>
                <w:sz w:val="24"/>
                <w:szCs w:val="24"/>
              </w:rPr>
            </w:pPr>
            <w:r w:rsidRPr="00EA35F1">
              <w:rPr>
                <w:rFonts w:cs="Calibri"/>
                <w:sz w:val="24"/>
                <w:szCs w:val="24"/>
              </w:rPr>
              <w:t>07:45 – 08:30</w:t>
            </w:r>
          </w:p>
          <w:p w:rsidR="000C7F5E" w:rsidRPr="00EA35F1" w:rsidRDefault="000C7F5E" w:rsidP="00562183">
            <w:pPr>
              <w:rPr>
                <w:rFonts w:cs="Calibri"/>
                <w:sz w:val="24"/>
                <w:szCs w:val="24"/>
              </w:rPr>
            </w:pPr>
          </w:p>
        </w:tc>
      </w:tr>
      <w:tr w:rsidR="000C7F5E" w:rsidRPr="00562183" w:rsidTr="00EA35F1">
        <w:trPr>
          <w:trHeight w:hRule="exact" w:val="708"/>
          <w:jc w:val="center"/>
        </w:trPr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0C7F5E" w:rsidRPr="00EA35F1" w:rsidRDefault="000C7F5E" w:rsidP="00EA35F1">
            <w:pPr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0C7F5E" w:rsidRPr="00EA35F1" w:rsidRDefault="000C7F5E" w:rsidP="00562183">
            <w:pPr>
              <w:rPr>
                <w:rFonts w:cs="Calibri"/>
                <w:sz w:val="24"/>
                <w:szCs w:val="24"/>
              </w:rPr>
            </w:pPr>
            <w:r w:rsidRPr="00EA35F1">
              <w:rPr>
                <w:rFonts w:cs="Calibri"/>
                <w:sz w:val="24"/>
                <w:szCs w:val="24"/>
              </w:rPr>
              <w:t>08:40 – 09:25</w:t>
            </w:r>
          </w:p>
        </w:tc>
      </w:tr>
      <w:tr w:rsidR="000C7F5E" w:rsidRPr="00562183" w:rsidTr="00EA35F1">
        <w:trPr>
          <w:trHeight w:hRule="exact" w:val="729"/>
          <w:jc w:val="center"/>
        </w:trPr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0C7F5E" w:rsidRPr="00EA35F1" w:rsidRDefault="000C7F5E" w:rsidP="00EA35F1">
            <w:pPr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0C7F5E" w:rsidRPr="00EA35F1" w:rsidRDefault="000C7F5E" w:rsidP="00562183">
            <w:pPr>
              <w:rPr>
                <w:rFonts w:cs="Calibri"/>
                <w:sz w:val="24"/>
                <w:szCs w:val="24"/>
              </w:rPr>
            </w:pPr>
            <w:r w:rsidRPr="00EA35F1">
              <w:rPr>
                <w:rFonts w:cs="Calibri"/>
                <w:sz w:val="24"/>
                <w:szCs w:val="24"/>
              </w:rPr>
              <w:t>09:40 – 10:25</w:t>
            </w:r>
          </w:p>
        </w:tc>
      </w:tr>
      <w:tr w:rsidR="000C7F5E" w:rsidRPr="00562183" w:rsidTr="00EA35F1">
        <w:trPr>
          <w:trHeight w:hRule="exact" w:val="706"/>
          <w:jc w:val="center"/>
        </w:trPr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0C7F5E" w:rsidRPr="00EA35F1" w:rsidRDefault="000C7F5E" w:rsidP="00EA35F1">
            <w:pPr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0C7F5E" w:rsidRPr="00EA35F1" w:rsidRDefault="000C7F5E" w:rsidP="00562183">
            <w:pPr>
              <w:rPr>
                <w:rFonts w:cs="Calibri"/>
                <w:sz w:val="24"/>
                <w:szCs w:val="24"/>
              </w:rPr>
            </w:pPr>
            <w:r w:rsidRPr="00EA35F1">
              <w:rPr>
                <w:rFonts w:cs="Calibri"/>
                <w:sz w:val="24"/>
                <w:szCs w:val="24"/>
              </w:rPr>
              <w:t>10:35 – 11:20</w:t>
            </w:r>
          </w:p>
        </w:tc>
      </w:tr>
      <w:tr w:rsidR="000C7F5E" w:rsidRPr="00562183" w:rsidTr="00EA35F1">
        <w:trPr>
          <w:trHeight w:hRule="exact" w:val="726"/>
          <w:jc w:val="center"/>
        </w:trPr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0C7F5E" w:rsidRPr="00EA35F1" w:rsidRDefault="000C7F5E" w:rsidP="00EA35F1">
            <w:pPr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0C7F5E" w:rsidRPr="00EA35F1" w:rsidRDefault="000C7F5E" w:rsidP="00562183">
            <w:pPr>
              <w:rPr>
                <w:rFonts w:cs="Calibri"/>
                <w:sz w:val="24"/>
                <w:szCs w:val="24"/>
              </w:rPr>
            </w:pPr>
            <w:r w:rsidRPr="00EA35F1">
              <w:rPr>
                <w:rFonts w:cs="Calibri"/>
                <w:sz w:val="24"/>
                <w:szCs w:val="24"/>
              </w:rPr>
              <w:t>11:30 – 12:15</w:t>
            </w:r>
          </w:p>
        </w:tc>
      </w:tr>
      <w:tr w:rsidR="000C7F5E" w:rsidRPr="00562183" w:rsidTr="00EA35F1">
        <w:trPr>
          <w:trHeight w:hRule="exact" w:val="718"/>
          <w:jc w:val="center"/>
        </w:trPr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0C7F5E" w:rsidRPr="00EA35F1" w:rsidRDefault="000C7F5E" w:rsidP="00EA35F1">
            <w:pPr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0C7F5E" w:rsidRPr="00EA35F1" w:rsidRDefault="000C7F5E" w:rsidP="00562183">
            <w:pPr>
              <w:rPr>
                <w:rFonts w:cs="Calibri"/>
                <w:sz w:val="24"/>
                <w:szCs w:val="24"/>
              </w:rPr>
            </w:pPr>
            <w:r w:rsidRPr="00EA35F1">
              <w:rPr>
                <w:rFonts w:cs="Calibri"/>
                <w:sz w:val="24"/>
                <w:szCs w:val="24"/>
              </w:rPr>
              <w:t>12:25 – 13:10</w:t>
            </w:r>
          </w:p>
        </w:tc>
      </w:tr>
      <w:tr w:rsidR="000C7F5E" w:rsidRPr="00562183" w:rsidTr="00EA35F1">
        <w:trPr>
          <w:trHeight w:hRule="exact" w:val="725"/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7F5E" w:rsidRPr="00EA35F1" w:rsidRDefault="000C7F5E" w:rsidP="00EA35F1">
            <w:pPr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7F5E" w:rsidRPr="00EA35F1" w:rsidRDefault="000C7F5E" w:rsidP="00562183">
            <w:pPr>
              <w:rPr>
                <w:rFonts w:cs="Calibri"/>
                <w:sz w:val="24"/>
                <w:szCs w:val="24"/>
              </w:rPr>
            </w:pPr>
            <w:r w:rsidRPr="00EA35F1">
              <w:rPr>
                <w:rFonts w:cs="Calibri"/>
                <w:sz w:val="24"/>
                <w:szCs w:val="24"/>
              </w:rPr>
              <w:t>13:15 – 14:00</w:t>
            </w:r>
          </w:p>
        </w:tc>
      </w:tr>
    </w:tbl>
    <w:p w:rsidR="000C7F5E" w:rsidRDefault="000C7F5E" w:rsidP="00562183">
      <w:pPr>
        <w:rPr>
          <w:rFonts w:cs="Calibri"/>
          <w:sz w:val="20"/>
          <w:szCs w:val="20"/>
        </w:rPr>
      </w:pPr>
    </w:p>
    <w:p w:rsidR="000C7F5E" w:rsidRDefault="000C7F5E" w:rsidP="00562183">
      <w:pPr>
        <w:rPr>
          <w:rFonts w:cs="Calibri"/>
          <w:sz w:val="20"/>
          <w:szCs w:val="20"/>
        </w:rPr>
      </w:pPr>
    </w:p>
    <w:p w:rsidR="000C7F5E" w:rsidRDefault="000C7F5E" w:rsidP="00562183">
      <w:pPr>
        <w:rPr>
          <w:rFonts w:cs="Calibri"/>
          <w:sz w:val="20"/>
          <w:szCs w:val="20"/>
        </w:rPr>
      </w:pPr>
    </w:p>
    <w:p w:rsidR="000C7F5E" w:rsidRDefault="000C7F5E" w:rsidP="00777102">
      <w:pPr>
        <w:jc w:val="center"/>
        <w:rPr>
          <w:rFonts w:cs="Calibri"/>
          <w:sz w:val="20"/>
          <w:szCs w:val="20"/>
        </w:rPr>
      </w:pPr>
      <w:r w:rsidRPr="00777102">
        <w:rPr>
          <w:rFonts w:cs="Calibri"/>
          <w:sz w:val="20"/>
          <w:szCs w:val="20"/>
        </w:rPr>
        <w:t>RÖVIDÍTETT ÓRÁK CSENGETÉSI RENDJE</w:t>
      </w:r>
    </w:p>
    <w:p w:rsidR="000C7F5E" w:rsidRPr="00777102" w:rsidRDefault="000C7F5E" w:rsidP="00777102">
      <w:pPr>
        <w:jc w:val="center"/>
        <w:rPr>
          <w:rFonts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25"/>
        <w:gridCol w:w="2199"/>
      </w:tblGrid>
      <w:tr w:rsidR="000C7F5E" w:rsidRPr="00777102" w:rsidTr="00EA35F1">
        <w:trPr>
          <w:trHeight w:hRule="exact" w:val="1283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F5E" w:rsidRPr="00EA35F1" w:rsidRDefault="000C7F5E" w:rsidP="00777102">
            <w:pPr>
              <w:rPr>
                <w:rFonts w:cs="Calibri"/>
                <w:sz w:val="24"/>
                <w:szCs w:val="24"/>
              </w:rPr>
            </w:pPr>
            <w:r w:rsidRPr="00EA35F1">
              <w:rPr>
                <w:rFonts w:cs="Calibri"/>
                <w:sz w:val="24"/>
                <w:szCs w:val="24"/>
              </w:rPr>
              <w:t>A tanóra sorszáma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7F5E" w:rsidRPr="00EA35F1" w:rsidRDefault="000C7F5E" w:rsidP="00777102">
            <w:pPr>
              <w:rPr>
                <w:rFonts w:cs="Calibri"/>
                <w:sz w:val="24"/>
                <w:szCs w:val="24"/>
              </w:rPr>
            </w:pPr>
            <w:r w:rsidRPr="00EA35F1">
              <w:rPr>
                <w:rFonts w:cs="Calibri"/>
                <w:sz w:val="24"/>
                <w:szCs w:val="24"/>
              </w:rPr>
              <w:t>A tanóra időtartama</w:t>
            </w:r>
          </w:p>
        </w:tc>
      </w:tr>
      <w:tr w:rsidR="000C7F5E" w:rsidRPr="00777102" w:rsidTr="00EA35F1">
        <w:trPr>
          <w:trHeight w:hRule="exact" w:val="1134"/>
          <w:jc w:val="center"/>
        </w:trPr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7F5E" w:rsidRPr="00EA35F1" w:rsidRDefault="000C7F5E" w:rsidP="00EA35F1">
            <w:pPr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7F5E" w:rsidRPr="00EA35F1" w:rsidRDefault="000C7F5E" w:rsidP="00777102">
            <w:pPr>
              <w:rPr>
                <w:rFonts w:cs="Calibri"/>
                <w:sz w:val="24"/>
                <w:szCs w:val="24"/>
              </w:rPr>
            </w:pPr>
            <w:r w:rsidRPr="00EA35F1">
              <w:rPr>
                <w:rFonts w:cs="Calibri"/>
                <w:sz w:val="24"/>
                <w:szCs w:val="24"/>
              </w:rPr>
              <w:t>07:00 – 07:40</w:t>
            </w:r>
          </w:p>
        </w:tc>
      </w:tr>
      <w:tr w:rsidR="000C7F5E" w:rsidRPr="00777102" w:rsidTr="00EA35F1">
        <w:trPr>
          <w:trHeight w:hRule="exact" w:val="1134"/>
          <w:jc w:val="center"/>
        </w:trPr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0C7F5E" w:rsidRPr="00EA35F1" w:rsidRDefault="000C7F5E" w:rsidP="00EA35F1">
            <w:pPr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0C7F5E" w:rsidRPr="00EA35F1" w:rsidRDefault="000C7F5E" w:rsidP="00777102">
            <w:pPr>
              <w:rPr>
                <w:rFonts w:cs="Calibri"/>
                <w:sz w:val="24"/>
                <w:szCs w:val="24"/>
              </w:rPr>
            </w:pPr>
            <w:r w:rsidRPr="00EA35F1">
              <w:rPr>
                <w:rFonts w:cs="Calibri"/>
                <w:sz w:val="24"/>
                <w:szCs w:val="24"/>
              </w:rPr>
              <w:t>07:45 – 08:15</w:t>
            </w:r>
          </w:p>
          <w:p w:rsidR="000C7F5E" w:rsidRPr="00EA35F1" w:rsidRDefault="000C7F5E" w:rsidP="00777102">
            <w:pPr>
              <w:rPr>
                <w:rFonts w:cs="Calibri"/>
                <w:sz w:val="24"/>
                <w:szCs w:val="24"/>
              </w:rPr>
            </w:pPr>
          </w:p>
        </w:tc>
      </w:tr>
      <w:tr w:rsidR="000C7F5E" w:rsidRPr="00777102" w:rsidTr="00EA35F1">
        <w:trPr>
          <w:trHeight w:hRule="exact" w:val="1134"/>
          <w:jc w:val="center"/>
        </w:trPr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0C7F5E" w:rsidRPr="00EA35F1" w:rsidRDefault="000C7F5E" w:rsidP="00EA35F1">
            <w:pPr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0C7F5E" w:rsidRPr="00EA35F1" w:rsidRDefault="000C7F5E" w:rsidP="00777102">
            <w:pPr>
              <w:rPr>
                <w:rFonts w:cs="Calibri"/>
                <w:sz w:val="24"/>
                <w:szCs w:val="24"/>
              </w:rPr>
            </w:pPr>
            <w:r w:rsidRPr="00EA35F1">
              <w:rPr>
                <w:rFonts w:cs="Calibri"/>
                <w:sz w:val="24"/>
                <w:szCs w:val="24"/>
              </w:rPr>
              <w:t>08:25 – 08:55</w:t>
            </w:r>
          </w:p>
        </w:tc>
      </w:tr>
      <w:tr w:rsidR="000C7F5E" w:rsidRPr="00777102" w:rsidTr="00EA35F1">
        <w:trPr>
          <w:trHeight w:hRule="exact" w:val="1134"/>
          <w:jc w:val="center"/>
        </w:trPr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0C7F5E" w:rsidRPr="00EA35F1" w:rsidRDefault="000C7F5E" w:rsidP="00EA35F1">
            <w:pPr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0C7F5E" w:rsidRPr="00EA35F1" w:rsidRDefault="000C7F5E" w:rsidP="00777102">
            <w:pPr>
              <w:rPr>
                <w:rFonts w:cs="Calibri"/>
                <w:sz w:val="24"/>
                <w:szCs w:val="24"/>
              </w:rPr>
            </w:pPr>
            <w:r w:rsidRPr="00EA35F1">
              <w:rPr>
                <w:rFonts w:cs="Calibri"/>
                <w:sz w:val="24"/>
                <w:szCs w:val="24"/>
              </w:rPr>
              <w:t>09:10 – 09:40</w:t>
            </w:r>
          </w:p>
        </w:tc>
      </w:tr>
      <w:tr w:rsidR="000C7F5E" w:rsidRPr="00777102" w:rsidTr="00EA35F1">
        <w:trPr>
          <w:trHeight w:hRule="exact" w:val="1134"/>
          <w:jc w:val="center"/>
        </w:trPr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0C7F5E" w:rsidRPr="00EA35F1" w:rsidRDefault="000C7F5E" w:rsidP="00EA35F1">
            <w:pPr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0C7F5E" w:rsidRPr="00EA35F1" w:rsidRDefault="000C7F5E" w:rsidP="00777102">
            <w:pPr>
              <w:rPr>
                <w:rFonts w:cs="Calibri"/>
                <w:sz w:val="24"/>
                <w:szCs w:val="24"/>
              </w:rPr>
            </w:pPr>
            <w:r w:rsidRPr="00EA35F1">
              <w:rPr>
                <w:rFonts w:cs="Calibri"/>
                <w:sz w:val="24"/>
                <w:szCs w:val="24"/>
              </w:rPr>
              <w:t>09:50 – 10:20</w:t>
            </w:r>
          </w:p>
        </w:tc>
      </w:tr>
      <w:tr w:rsidR="000C7F5E" w:rsidRPr="00777102" w:rsidTr="00EA35F1">
        <w:trPr>
          <w:trHeight w:hRule="exact" w:val="1134"/>
          <w:jc w:val="center"/>
        </w:trPr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0C7F5E" w:rsidRPr="00EA35F1" w:rsidRDefault="000C7F5E" w:rsidP="00EA35F1">
            <w:pPr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0C7F5E" w:rsidRPr="00EA35F1" w:rsidRDefault="000C7F5E" w:rsidP="00777102">
            <w:pPr>
              <w:rPr>
                <w:rFonts w:cs="Calibri"/>
                <w:sz w:val="24"/>
                <w:szCs w:val="24"/>
              </w:rPr>
            </w:pPr>
            <w:r w:rsidRPr="00EA35F1">
              <w:rPr>
                <w:rFonts w:cs="Calibri"/>
                <w:sz w:val="24"/>
                <w:szCs w:val="24"/>
              </w:rPr>
              <w:t>10:30 – 11:00</w:t>
            </w:r>
          </w:p>
        </w:tc>
      </w:tr>
      <w:tr w:rsidR="000C7F5E" w:rsidRPr="00777102" w:rsidTr="00EA35F1">
        <w:trPr>
          <w:trHeight w:hRule="exact" w:val="1134"/>
          <w:jc w:val="center"/>
        </w:trPr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0C7F5E" w:rsidRPr="00EA35F1" w:rsidRDefault="000C7F5E" w:rsidP="00EA35F1">
            <w:pPr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0C7F5E" w:rsidRPr="00EA35F1" w:rsidRDefault="000C7F5E" w:rsidP="00777102">
            <w:pPr>
              <w:rPr>
                <w:rFonts w:cs="Calibri"/>
                <w:sz w:val="24"/>
                <w:szCs w:val="24"/>
              </w:rPr>
            </w:pPr>
            <w:r w:rsidRPr="00EA35F1">
              <w:rPr>
                <w:rFonts w:cs="Calibri"/>
                <w:sz w:val="24"/>
                <w:szCs w:val="24"/>
              </w:rPr>
              <w:t>11:10 – 11:40</w:t>
            </w:r>
          </w:p>
        </w:tc>
      </w:tr>
      <w:tr w:rsidR="000C7F5E" w:rsidRPr="00777102" w:rsidTr="00EA35F1">
        <w:trPr>
          <w:trHeight w:hRule="exact" w:val="1134"/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7F5E" w:rsidRPr="00EA35F1" w:rsidRDefault="000C7F5E" w:rsidP="00EA35F1">
            <w:pPr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7F5E" w:rsidRPr="00EA35F1" w:rsidRDefault="000C7F5E" w:rsidP="00777102">
            <w:pPr>
              <w:rPr>
                <w:rFonts w:cs="Calibri"/>
                <w:sz w:val="24"/>
                <w:szCs w:val="24"/>
              </w:rPr>
            </w:pPr>
            <w:r w:rsidRPr="00EA35F1">
              <w:rPr>
                <w:rFonts w:cs="Calibri"/>
                <w:sz w:val="24"/>
                <w:szCs w:val="24"/>
              </w:rPr>
              <w:t>11:45 – 12:15</w:t>
            </w:r>
          </w:p>
        </w:tc>
      </w:tr>
    </w:tbl>
    <w:p w:rsidR="000C7F5E" w:rsidRPr="00562183" w:rsidRDefault="000C7F5E" w:rsidP="00562183">
      <w:pPr>
        <w:rPr>
          <w:rFonts w:cs="Calibri"/>
          <w:sz w:val="20"/>
          <w:szCs w:val="20"/>
        </w:rPr>
      </w:pPr>
    </w:p>
    <w:p w:rsidR="000C7F5E" w:rsidRDefault="000C7F5E">
      <w:pPr>
        <w:rPr>
          <w:rFonts w:cs="Calibri"/>
          <w:sz w:val="20"/>
          <w:szCs w:val="20"/>
        </w:rPr>
      </w:pPr>
    </w:p>
    <w:p w:rsidR="000C7F5E" w:rsidRDefault="000C7F5E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</w:p>
    <w:p w:rsidR="000C7F5E" w:rsidRDefault="000C7F5E" w:rsidP="000E2349">
      <w:pPr>
        <w:rPr>
          <w:rFonts w:cs="Calibri"/>
          <w:sz w:val="20"/>
          <w:szCs w:val="20"/>
        </w:rPr>
      </w:pPr>
      <w:r w:rsidRPr="00C65683">
        <w:rPr>
          <w:rFonts w:cs="Calibri"/>
          <w:sz w:val="20"/>
          <w:szCs w:val="20"/>
        </w:rPr>
        <w:t>Csengetési rend nappali tagozatokon (gyakorlati foglalkozásokon):</w:t>
      </w:r>
    </w:p>
    <w:p w:rsidR="000C7F5E" w:rsidRDefault="000C7F5E" w:rsidP="000E2349">
      <w:pPr>
        <w:rPr>
          <w:rFonts w:ascii="Times New Roman" w:hAnsi="Times New Roman"/>
          <w:sz w:val="20"/>
          <w:szCs w:val="20"/>
          <w:lang w:eastAsia="hu-HU"/>
        </w:rPr>
      </w:pPr>
    </w:p>
    <w:tbl>
      <w:tblPr>
        <w:tblW w:w="860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40"/>
        <w:gridCol w:w="2680"/>
        <w:gridCol w:w="2280"/>
      </w:tblGrid>
      <w:tr w:rsidR="000C7F5E" w:rsidRPr="00C65683" w:rsidTr="00C65683">
        <w:trPr>
          <w:trHeight w:val="705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7F5E" w:rsidRPr="00C65683" w:rsidRDefault="000C7F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5683">
              <w:rPr>
                <w:b/>
                <w:bCs/>
                <w:color w:val="000000"/>
                <w:sz w:val="24"/>
                <w:szCs w:val="24"/>
              </w:rPr>
              <w:t>Szakiskolai osztályok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C65683" w:rsidRDefault="000C7F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5683">
              <w:rPr>
                <w:b/>
                <w:bCs/>
                <w:color w:val="000000"/>
                <w:sz w:val="24"/>
                <w:szCs w:val="24"/>
              </w:rPr>
              <w:t>Kezdés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F5E" w:rsidRPr="00C65683" w:rsidRDefault="000C7F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5683">
              <w:rPr>
                <w:b/>
                <w:bCs/>
                <w:color w:val="000000"/>
                <w:sz w:val="24"/>
                <w:szCs w:val="24"/>
              </w:rPr>
              <w:t>7:45</w:t>
            </w:r>
          </w:p>
        </w:tc>
      </w:tr>
      <w:tr w:rsidR="000C7F5E" w:rsidRPr="00C65683" w:rsidTr="00440B39">
        <w:trPr>
          <w:trHeight w:val="537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7F5E" w:rsidRPr="00C65683" w:rsidRDefault="000C7F5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C65683" w:rsidRDefault="000C7F5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C65683" w:rsidRDefault="000C7F5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7F5E" w:rsidRPr="00C65683" w:rsidTr="00C65683">
        <w:trPr>
          <w:trHeight w:val="705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7F5E" w:rsidRPr="00C65683" w:rsidRDefault="000C7F5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C65683" w:rsidRDefault="000C7F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5683">
              <w:rPr>
                <w:b/>
                <w:bCs/>
                <w:color w:val="000000"/>
                <w:sz w:val="24"/>
                <w:szCs w:val="24"/>
              </w:rPr>
              <w:t>Reggeli szünet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F5E" w:rsidRPr="00C65683" w:rsidRDefault="000C7F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5683">
              <w:rPr>
                <w:b/>
                <w:bCs/>
                <w:color w:val="000000"/>
                <w:sz w:val="24"/>
                <w:szCs w:val="24"/>
              </w:rPr>
              <w:t>9:15  -  9:40</w:t>
            </w:r>
          </w:p>
        </w:tc>
      </w:tr>
      <w:tr w:rsidR="000C7F5E" w:rsidRPr="00C65683" w:rsidTr="00440B39">
        <w:trPr>
          <w:trHeight w:val="537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7F5E" w:rsidRPr="00C65683" w:rsidRDefault="000C7F5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C65683" w:rsidRDefault="000C7F5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C65683" w:rsidRDefault="000C7F5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7F5E" w:rsidRPr="00C65683" w:rsidTr="00C65683">
        <w:trPr>
          <w:trHeight w:val="705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7F5E" w:rsidRPr="00C65683" w:rsidRDefault="000C7F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5683">
              <w:rPr>
                <w:b/>
                <w:bCs/>
                <w:color w:val="000000"/>
                <w:sz w:val="24"/>
                <w:szCs w:val="24"/>
              </w:rPr>
              <w:t>1/9 K  1/9 F  1/9 M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C65683" w:rsidRDefault="000C7F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5683">
              <w:rPr>
                <w:b/>
                <w:bCs/>
                <w:color w:val="000000"/>
                <w:sz w:val="24"/>
                <w:szCs w:val="24"/>
              </w:rPr>
              <w:t>Ebédszünet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F5E" w:rsidRPr="00C65683" w:rsidRDefault="000C7F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5683">
              <w:rPr>
                <w:b/>
                <w:bCs/>
                <w:color w:val="000000"/>
                <w:sz w:val="24"/>
                <w:szCs w:val="24"/>
              </w:rPr>
              <w:t>12:00  -  12:25</w:t>
            </w:r>
          </w:p>
        </w:tc>
      </w:tr>
      <w:tr w:rsidR="000C7F5E" w:rsidRPr="00C65683" w:rsidTr="00440B39">
        <w:trPr>
          <w:trHeight w:val="537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7F5E" w:rsidRPr="00C65683" w:rsidRDefault="000C7F5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C65683" w:rsidRDefault="000C7F5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C65683" w:rsidRDefault="000C7F5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7F5E" w:rsidRPr="00C65683" w:rsidTr="00C65683">
        <w:trPr>
          <w:trHeight w:val="705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7F5E" w:rsidRPr="00C65683" w:rsidRDefault="000C7F5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C65683" w:rsidRDefault="000C7F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5683">
              <w:rPr>
                <w:b/>
                <w:bCs/>
                <w:color w:val="000000"/>
                <w:sz w:val="24"/>
                <w:szCs w:val="24"/>
              </w:rPr>
              <w:t>Foglalkozás befejezése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F5E" w:rsidRPr="00C65683" w:rsidRDefault="000C7F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5683">
              <w:rPr>
                <w:b/>
                <w:bCs/>
                <w:color w:val="000000"/>
                <w:sz w:val="24"/>
                <w:szCs w:val="24"/>
              </w:rPr>
              <w:t>14:00</w:t>
            </w:r>
          </w:p>
        </w:tc>
      </w:tr>
      <w:tr w:rsidR="000C7F5E" w:rsidRPr="00C65683" w:rsidTr="00440B39">
        <w:trPr>
          <w:trHeight w:val="537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7F5E" w:rsidRPr="00C65683" w:rsidRDefault="000C7F5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C65683" w:rsidRDefault="000C7F5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C65683" w:rsidRDefault="000C7F5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C7F5E" w:rsidRDefault="000C7F5E" w:rsidP="000E2349">
      <w:pPr>
        <w:rPr>
          <w:rFonts w:cs="Calibri"/>
          <w:sz w:val="20"/>
          <w:szCs w:val="20"/>
        </w:rPr>
      </w:pPr>
    </w:p>
    <w:p w:rsidR="000C7F5E" w:rsidRDefault="000C7F5E">
      <w:pPr>
        <w:rPr>
          <w:rFonts w:cs="Calibri"/>
          <w:sz w:val="20"/>
          <w:szCs w:val="20"/>
        </w:rPr>
      </w:pPr>
    </w:p>
    <w:p w:rsidR="000C7F5E" w:rsidRDefault="000C7F5E" w:rsidP="00182D63">
      <w:pPr>
        <w:rPr>
          <w:rFonts w:cs="Calibri"/>
          <w:sz w:val="20"/>
          <w:szCs w:val="20"/>
        </w:rPr>
      </w:pPr>
      <w:r w:rsidRPr="00AB178F">
        <w:rPr>
          <w:rFonts w:cs="Calibri"/>
          <w:sz w:val="20"/>
          <w:szCs w:val="20"/>
        </w:rPr>
        <w:t>Az intézmény vezetője vagy helyettesei közül egyiküknek az intézményben kel</w:t>
      </w:r>
      <w:r>
        <w:rPr>
          <w:rFonts w:cs="Calibri"/>
          <w:sz w:val="20"/>
          <w:szCs w:val="20"/>
        </w:rPr>
        <w:t xml:space="preserve">l tartózkodnia </w:t>
      </w:r>
      <w:r w:rsidRPr="00AB178F">
        <w:rPr>
          <w:rFonts w:cs="Calibri"/>
          <w:sz w:val="20"/>
          <w:szCs w:val="20"/>
        </w:rPr>
        <w:t>abban az időszakban, amikor tanítási órák, tanulóink számára szervez</w:t>
      </w:r>
      <w:r>
        <w:rPr>
          <w:rFonts w:cs="Calibri"/>
          <w:sz w:val="20"/>
          <w:szCs w:val="20"/>
        </w:rPr>
        <w:t>ett iskolai rendszerű délutáni</w:t>
      </w:r>
      <w:r w:rsidRPr="00AB178F">
        <w:rPr>
          <w:rFonts w:cs="Calibri"/>
          <w:sz w:val="20"/>
          <w:szCs w:val="20"/>
        </w:rPr>
        <w:t xml:space="preserve"> foglalkozások vannak. Ezért az igazgató vagy helyettesei k</w:t>
      </w:r>
      <w:r>
        <w:rPr>
          <w:rFonts w:cs="Calibri"/>
          <w:sz w:val="20"/>
          <w:szCs w:val="20"/>
        </w:rPr>
        <w:t>özül legalább egyikük hétfőtől csütörtökig 7.30 és 15.3</w:t>
      </w:r>
      <w:r w:rsidRPr="00AB178F">
        <w:rPr>
          <w:rFonts w:cs="Calibri"/>
          <w:sz w:val="20"/>
          <w:szCs w:val="20"/>
        </w:rPr>
        <w:t>0 óra között, pénteken 7.30 és 14</w:t>
      </w:r>
      <w:r>
        <w:rPr>
          <w:rFonts w:cs="Calibri"/>
          <w:sz w:val="20"/>
          <w:szCs w:val="20"/>
        </w:rPr>
        <w:t xml:space="preserve">.00 óra között az intézményben </w:t>
      </w:r>
      <w:r w:rsidRPr="00AB178F">
        <w:rPr>
          <w:rFonts w:cs="Calibri"/>
          <w:sz w:val="20"/>
          <w:szCs w:val="20"/>
        </w:rPr>
        <w:t xml:space="preserve">tartózkodik. </w:t>
      </w:r>
    </w:p>
    <w:p w:rsidR="000C7F5E" w:rsidRPr="00182D63" w:rsidRDefault="000C7F5E" w:rsidP="00182D63">
      <w:pPr>
        <w:rPr>
          <w:rFonts w:cs="Calibri"/>
          <w:sz w:val="20"/>
          <w:szCs w:val="20"/>
        </w:rPr>
      </w:pPr>
      <w:r w:rsidRPr="00182D63">
        <w:t xml:space="preserve"> </w:t>
      </w:r>
      <w:r w:rsidRPr="00182D63">
        <w:rPr>
          <w:rFonts w:cs="Calibri"/>
          <w:sz w:val="20"/>
          <w:szCs w:val="20"/>
        </w:rPr>
        <w:t>Pedagógusok munkaidejét az órarend szerinti tanórai és a tanórá</w:t>
      </w:r>
      <w:r>
        <w:rPr>
          <w:rFonts w:cs="Calibri"/>
          <w:sz w:val="20"/>
          <w:szCs w:val="20"/>
        </w:rPr>
        <w:t xml:space="preserve">n kívüli feladatok ellátásához </w:t>
      </w:r>
      <w:r w:rsidRPr="00182D63">
        <w:rPr>
          <w:rFonts w:cs="Calibri"/>
          <w:sz w:val="20"/>
          <w:szCs w:val="20"/>
        </w:rPr>
        <w:t xml:space="preserve">szükséges időtartam határozza meg. </w:t>
      </w:r>
    </w:p>
    <w:p w:rsidR="000C7F5E" w:rsidRPr="00182D63" w:rsidRDefault="000C7F5E" w:rsidP="00182D63">
      <w:pPr>
        <w:rPr>
          <w:rFonts w:cs="Calibri"/>
          <w:sz w:val="20"/>
          <w:szCs w:val="20"/>
        </w:rPr>
      </w:pPr>
      <w:r w:rsidRPr="00182D63">
        <w:rPr>
          <w:rFonts w:cs="Calibri"/>
          <w:sz w:val="20"/>
          <w:szCs w:val="20"/>
        </w:rPr>
        <w:t xml:space="preserve">Tanítási idő alatt a diákok az iskola épületét csak az ügyeletes </w:t>
      </w:r>
      <w:r>
        <w:rPr>
          <w:rFonts w:cs="Calibri"/>
          <w:sz w:val="20"/>
          <w:szCs w:val="20"/>
        </w:rPr>
        <w:t xml:space="preserve">igazgatóhelyettesi engedéllyel </w:t>
      </w:r>
      <w:r w:rsidRPr="00182D63">
        <w:rPr>
          <w:rFonts w:cs="Calibri"/>
          <w:sz w:val="20"/>
          <w:szCs w:val="20"/>
        </w:rPr>
        <w:t xml:space="preserve">hagyhatják el. </w:t>
      </w:r>
    </w:p>
    <w:p w:rsidR="000C7F5E" w:rsidRPr="00182D63" w:rsidRDefault="000C7F5E" w:rsidP="00182D63">
      <w:pPr>
        <w:rPr>
          <w:rFonts w:cs="Calibri"/>
          <w:sz w:val="20"/>
          <w:szCs w:val="20"/>
        </w:rPr>
      </w:pPr>
      <w:r w:rsidRPr="00182D63">
        <w:rPr>
          <w:rFonts w:cs="Calibri"/>
          <w:sz w:val="20"/>
          <w:szCs w:val="20"/>
        </w:rPr>
        <w:t>A tanítási órák közötti szünetekben a folyosón ügyeletes tan</w:t>
      </w:r>
      <w:r>
        <w:rPr>
          <w:rFonts w:cs="Calibri"/>
          <w:sz w:val="20"/>
          <w:szCs w:val="20"/>
        </w:rPr>
        <w:t xml:space="preserve">ár tartózkodik, aki a Házirend </w:t>
      </w:r>
      <w:r w:rsidRPr="00182D63">
        <w:rPr>
          <w:rFonts w:cs="Calibri"/>
          <w:sz w:val="20"/>
          <w:szCs w:val="20"/>
        </w:rPr>
        <w:t xml:space="preserve">előírásai szerint biztosítja a rendet. </w:t>
      </w:r>
    </w:p>
    <w:p w:rsidR="000C7F5E" w:rsidRDefault="000C7F5E" w:rsidP="00182D63">
      <w:pPr>
        <w:rPr>
          <w:rFonts w:cs="Calibri"/>
          <w:sz w:val="20"/>
          <w:szCs w:val="20"/>
        </w:rPr>
      </w:pPr>
      <w:r w:rsidRPr="00CE77F4">
        <w:rPr>
          <w:rFonts w:cs="Calibri"/>
          <w:sz w:val="20"/>
          <w:szCs w:val="20"/>
        </w:rPr>
        <w:t>A tanulók hivatalos ügyeiket a titkárságon a kifügg</w:t>
      </w:r>
      <w:r>
        <w:rPr>
          <w:rFonts w:cs="Calibri"/>
          <w:sz w:val="20"/>
          <w:szCs w:val="20"/>
        </w:rPr>
        <w:t>esztett időpontokban intézhetik:</w:t>
      </w:r>
    </w:p>
    <w:tbl>
      <w:tblPr>
        <w:tblW w:w="860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40"/>
        <w:gridCol w:w="2680"/>
        <w:gridCol w:w="2280"/>
      </w:tblGrid>
      <w:tr w:rsidR="000C7F5E" w:rsidRPr="00C65683" w:rsidTr="00F86F31">
        <w:trPr>
          <w:trHeight w:val="705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7F5E" w:rsidRPr="00C65683" w:rsidRDefault="000C7F5E" w:rsidP="00F86F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Ügyfélfogadás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C65683" w:rsidRDefault="000C7F5E" w:rsidP="00F86F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Kedd és Csütörtök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F5E" w:rsidRPr="00C65683" w:rsidRDefault="000C7F5E" w:rsidP="00F86F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13:00-14:30</w:t>
            </w:r>
          </w:p>
        </w:tc>
      </w:tr>
      <w:tr w:rsidR="000C7F5E" w:rsidRPr="00C65683" w:rsidTr="00F86F31">
        <w:trPr>
          <w:trHeight w:val="537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7F5E" w:rsidRPr="00C65683" w:rsidRDefault="000C7F5E" w:rsidP="00F86F3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C65683" w:rsidRDefault="000C7F5E" w:rsidP="00F86F3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C65683" w:rsidRDefault="000C7F5E" w:rsidP="00F86F3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7F5E" w:rsidRPr="00C65683" w:rsidTr="00F86F31">
        <w:trPr>
          <w:trHeight w:val="705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7F5E" w:rsidRPr="00C65683" w:rsidRDefault="000C7F5E" w:rsidP="00F86F3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C65683" w:rsidRDefault="000C7F5E" w:rsidP="00F86F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Péntek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F5E" w:rsidRPr="00C65683" w:rsidRDefault="000C7F5E" w:rsidP="00F86F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9:25</w:t>
            </w:r>
            <w:r w:rsidRPr="00C65683">
              <w:rPr>
                <w:b/>
                <w:bCs/>
                <w:color w:val="000000"/>
                <w:sz w:val="24"/>
                <w:szCs w:val="24"/>
              </w:rPr>
              <w:t xml:space="preserve">  -  9:40</w:t>
            </w:r>
          </w:p>
        </w:tc>
      </w:tr>
      <w:tr w:rsidR="000C7F5E" w:rsidRPr="00C65683" w:rsidTr="00F86F31">
        <w:trPr>
          <w:trHeight w:val="537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7F5E" w:rsidRPr="00C65683" w:rsidRDefault="000C7F5E" w:rsidP="00F86F3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C65683" w:rsidRDefault="000C7F5E" w:rsidP="00F86F3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E" w:rsidRPr="00C65683" w:rsidRDefault="000C7F5E" w:rsidP="00F86F3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C7F5E" w:rsidRDefault="000C7F5E" w:rsidP="00182D63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</w:p>
    <w:p w:rsidR="000C7F5E" w:rsidRDefault="000C7F5E" w:rsidP="003448CD">
      <w:pPr>
        <w:pStyle w:val="Norma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Tahoma" w:hAnsi="Tahoma" w:cs="Tahoma"/>
          <w:color w:val="222222"/>
        </w:rPr>
      </w:pPr>
      <w:r>
        <w:rPr>
          <w:rFonts w:ascii="Tahoma" w:hAnsi="Tahoma" w:cs="Tahoma"/>
          <w:b/>
          <w:bCs/>
          <w:color w:val="222222"/>
        </w:rPr>
        <w:t>229/2012. (VIII. 28.) Korm. rendelet</w:t>
      </w:r>
    </w:p>
    <w:p w:rsidR="000C7F5E" w:rsidRDefault="000C7F5E" w:rsidP="003448CD">
      <w:pPr>
        <w:pStyle w:val="Norma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Tahoma" w:hAnsi="Tahoma" w:cs="Tahoma"/>
          <w:color w:val="222222"/>
        </w:rPr>
      </w:pPr>
      <w:r>
        <w:rPr>
          <w:rFonts w:ascii="Tahoma" w:hAnsi="Tahoma" w:cs="Tahoma"/>
          <w:b/>
          <w:bCs/>
          <w:color w:val="222222"/>
        </w:rPr>
        <w:t>a nemzeti köznevelésről szóló törvény végrehajtásáról</w:t>
      </w:r>
    </w:p>
    <w:p w:rsidR="000C7F5E" w:rsidRPr="00B159D4" w:rsidRDefault="000C7F5E" w:rsidP="003448CD">
      <w:pPr>
        <w:pStyle w:val="NormalWeb"/>
        <w:shd w:val="clear" w:color="auto" w:fill="FFFFFF"/>
        <w:spacing w:before="300" w:beforeAutospacing="0" w:after="300" w:afterAutospacing="0"/>
        <w:ind w:right="150"/>
        <w:jc w:val="center"/>
        <w:rPr>
          <w:rFonts w:ascii="Tahoma" w:hAnsi="Tahoma" w:cs="Tahoma"/>
          <w:color w:val="222222"/>
          <w:sz w:val="20"/>
          <w:szCs w:val="20"/>
        </w:rPr>
      </w:pPr>
      <w:r w:rsidRPr="00B159D4">
        <w:rPr>
          <w:rFonts w:ascii="Tahoma" w:hAnsi="Tahoma" w:cs="Tahoma"/>
          <w:bCs/>
          <w:color w:val="222222"/>
          <w:sz w:val="20"/>
          <w:szCs w:val="20"/>
        </w:rPr>
        <w:t>10. A tájékoztató rendszer és a köznevelési intézmények közzétételi listája</w:t>
      </w:r>
    </w:p>
    <w:p w:rsidR="000C7F5E" w:rsidRDefault="000C7F5E" w:rsidP="003448CD">
      <w:r w:rsidRPr="00B159D4">
        <w:t>23. § (1)</w:t>
      </w:r>
    </w:p>
    <w:p w:rsidR="000C7F5E" w:rsidRDefault="000C7F5E" w:rsidP="00A7434E">
      <w:pPr>
        <w:pStyle w:val="Heading1"/>
        <w:rPr>
          <w:shd w:val="clear" w:color="auto" w:fill="FFFFFF"/>
        </w:rPr>
      </w:pPr>
      <w:bookmarkStart w:id="13" w:name="_Toc408144462"/>
      <w:r w:rsidRPr="003B6C4A">
        <w:rPr>
          <w:i/>
          <w:iCs/>
          <w:shd w:val="clear" w:color="auto" w:fill="FFFFFF"/>
        </w:rPr>
        <w:t>f) </w:t>
      </w:r>
      <w:r w:rsidRPr="003B6C4A">
        <w:rPr>
          <w:shd w:val="clear" w:color="auto" w:fill="FFFFFF"/>
        </w:rPr>
        <w:t>a pedagógiai-szakmai ellenőrzés megállapításait a személyes adatok védelmére vonatkozó jogszabályok megtartásával</w:t>
      </w:r>
      <w:bookmarkEnd w:id="13"/>
    </w:p>
    <w:p w:rsidR="000C7F5E" w:rsidRDefault="000C7F5E" w:rsidP="00BD1939"/>
    <w:p w:rsidR="000C7F5E" w:rsidRDefault="000C7F5E" w:rsidP="00BD1939">
      <w:r>
        <w:t>Intézményi fejlesztési terv 2014. november 6.                                            Iksz: 655/2014</w:t>
      </w:r>
    </w:p>
    <w:p w:rsidR="000C7F5E" w:rsidRPr="00BD1939" w:rsidRDefault="000C7F5E" w:rsidP="00BD1939">
      <w:r>
        <w:t>Intézményi fejlesztési terv 2014. november 18.                                          Iksz: 772/2014</w:t>
      </w:r>
    </w:p>
    <w:p w:rsidR="000C7F5E" w:rsidRDefault="000C7F5E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</w:p>
    <w:p w:rsidR="000C7F5E" w:rsidRDefault="000C7F5E" w:rsidP="003448CD">
      <w:pPr>
        <w:pStyle w:val="Norma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Tahoma" w:hAnsi="Tahoma" w:cs="Tahoma"/>
          <w:color w:val="222222"/>
        </w:rPr>
      </w:pPr>
      <w:r>
        <w:rPr>
          <w:rFonts w:ascii="Tahoma" w:hAnsi="Tahoma" w:cs="Tahoma"/>
          <w:b/>
          <w:bCs/>
          <w:color w:val="222222"/>
        </w:rPr>
        <w:t>229/2012. (VIII. 28.) Korm. rendelet</w:t>
      </w:r>
    </w:p>
    <w:p w:rsidR="000C7F5E" w:rsidRDefault="000C7F5E" w:rsidP="003448CD">
      <w:pPr>
        <w:pStyle w:val="Norma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Tahoma" w:hAnsi="Tahoma" w:cs="Tahoma"/>
          <w:color w:val="222222"/>
        </w:rPr>
      </w:pPr>
      <w:r>
        <w:rPr>
          <w:rFonts w:ascii="Tahoma" w:hAnsi="Tahoma" w:cs="Tahoma"/>
          <w:b/>
          <w:bCs/>
          <w:color w:val="222222"/>
        </w:rPr>
        <w:t>a nemzeti köznevelésről szóló törvény végrehajtásáról</w:t>
      </w:r>
    </w:p>
    <w:p w:rsidR="000C7F5E" w:rsidRPr="00B159D4" w:rsidRDefault="000C7F5E" w:rsidP="003448CD">
      <w:pPr>
        <w:pStyle w:val="NormalWeb"/>
        <w:shd w:val="clear" w:color="auto" w:fill="FFFFFF"/>
        <w:spacing w:before="300" w:beforeAutospacing="0" w:after="300" w:afterAutospacing="0"/>
        <w:ind w:right="150"/>
        <w:jc w:val="center"/>
        <w:rPr>
          <w:rFonts w:ascii="Tahoma" w:hAnsi="Tahoma" w:cs="Tahoma"/>
          <w:color w:val="222222"/>
          <w:sz w:val="20"/>
          <w:szCs w:val="20"/>
        </w:rPr>
      </w:pPr>
      <w:r w:rsidRPr="00B159D4">
        <w:rPr>
          <w:rFonts w:ascii="Tahoma" w:hAnsi="Tahoma" w:cs="Tahoma"/>
          <w:bCs/>
          <w:color w:val="222222"/>
          <w:sz w:val="20"/>
          <w:szCs w:val="20"/>
        </w:rPr>
        <w:t>10. A tájékoztató rendszer és a köznevelési intézmények közzétételi listája</w:t>
      </w:r>
    </w:p>
    <w:p w:rsidR="000C7F5E" w:rsidRDefault="000C7F5E" w:rsidP="003448CD">
      <w:r w:rsidRPr="00B159D4">
        <w:t>23. § (1)</w:t>
      </w:r>
    </w:p>
    <w:p w:rsidR="000C7F5E" w:rsidRDefault="000C7F5E" w:rsidP="00A7434E">
      <w:pPr>
        <w:pStyle w:val="Heading1"/>
        <w:rPr>
          <w:shd w:val="clear" w:color="auto" w:fill="FFFFFF"/>
        </w:rPr>
      </w:pPr>
      <w:bookmarkStart w:id="14" w:name="_Toc408144463"/>
      <w:r w:rsidRPr="003B6C4A">
        <w:rPr>
          <w:i/>
          <w:iCs/>
          <w:shd w:val="clear" w:color="auto" w:fill="FFFFFF"/>
        </w:rPr>
        <w:t>g) </w:t>
      </w:r>
      <w:r w:rsidRPr="003B6C4A">
        <w:rPr>
          <w:shd w:val="clear" w:color="auto" w:fill="FFFFFF"/>
        </w:rPr>
        <w:t>a sze</w:t>
      </w:r>
      <w:r>
        <w:rPr>
          <w:shd w:val="clear" w:color="auto" w:fill="FFFFFF"/>
        </w:rPr>
        <w:t>rvezeti és működési szabályzat, a házirend és a pedagógiai program</w:t>
      </w:r>
      <w:bookmarkEnd w:id="14"/>
      <w:r>
        <w:rPr>
          <w:shd w:val="clear" w:color="auto" w:fill="FFFFFF"/>
        </w:rPr>
        <w:t xml:space="preserve"> </w:t>
      </w:r>
    </w:p>
    <w:p w:rsidR="000C7F5E" w:rsidRDefault="000C7F5E" w:rsidP="00596A20"/>
    <w:p w:rsidR="000C7F5E" w:rsidRDefault="000C7F5E" w:rsidP="00596A20">
      <w:pPr>
        <w:rPr>
          <w:shd w:val="clear" w:color="auto" w:fill="FFFFFF"/>
        </w:rPr>
      </w:pPr>
      <w:r w:rsidRPr="003B6C4A">
        <w:rPr>
          <w:shd w:val="clear" w:color="auto" w:fill="FFFFFF"/>
        </w:rPr>
        <w:t>a sze</w:t>
      </w:r>
      <w:r>
        <w:rPr>
          <w:shd w:val="clear" w:color="auto" w:fill="FFFFFF"/>
        </w:rPr>
        <w:t>rvezeti és működési szabályzat</w:t>
      </w:r>
    </w:p>
    <w:p w:rsidR="000C7F5E" w:rsidRDefault="000C7F5E" w:rsidP="00596A20">
      <w:pPr>
        <w:rPr>
          <w:shd w:val="clear" w:color="auto" w:fill="FFFFFF"/>
        </w:rPr>
      </w:pPr>
      <w:r>
        <w:rPr>
          <w:shd w:val="clear" w:color="auto" w:fill="FFFFFF"/>
        </w:rPr>
        <w:t>a házirend</w:t>
      </w:r>
    </w:p>
    <w:p w:rsidR="000C7F5E" w:rsidRPr="00596A20" w:rsidRDefault="000C7F5E" w:rsidP="00596A20">
      <w:r>
        <w:rPr>
          <w:shd w:val="clear" w:color="auto" w:fill="FFFFFF"/>
        </w:rPr>
        <w:t>a pedagógiai program</w:t>
      </w:r>
      <w:bookmarkStart w:id="15" w:name="_GoBack"/>
      <w:bookmarkEnd w:id="15"/>
    </w:p>
    <w:sectPr w:rsidR="000C7F5E" w:rsidRPr="00596A20" w:rsidSect="006F0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F5E" w:rsidRDefault="000C7F5E" w:rsidP="00ED3927">
      <w:pPr>
        <w:spacing w:after="0" w:line="240" w:lineRule="auto"/>
      </w:pPr>
      <w:r>
        <w:separator/>
      </w:r>
    </w:p>
  </w:endnote>
  <w:endnote w:type="continuationSeparator" w:id="0">
    <w:p w:rsidR="000C7F5E" w:rsidRDefault="000C7F5E" w:rsidP="00ED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F5E" w:rsidRDefault="000C7F5E">
    <w:pPr>
      <w:pStyle w:val="Footer"/>
      <w:jc w:val="right"/>
    </w:pPr>
    <w:fldSimple w:instr="PAGE   \* MERGEFORMAT">
      <w:r>
        <w:rPr>
          <w:noProof/>
        </w:rPr>
        <w:t>22</w:t>
      </w:r>
    </w:fldSimple>
  </w:p>
  <w:p w:rsidR="000C7F5E" w:rsidRDefault="000C7F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F5E" w:rsidRDefault="000C7F5E" w:rsidP="00ED3927">
      <w:pPr>
        <w:spacing w:after="0" w:line="240" w:lineRule="auto"/>
      </w:pPr>
      <w:r>
        <w:separator/>
      </w:r>
    </w:p>
  </w:footnote>
  <w:footnote w:type="continuationSeparator" w:id="0">
    <w:p w:rsidR="000C7F5E" w:rsidRDefault="000C7F5E" w:rsidP="00ED3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B05DD"/>
    <w:multiLevelType w:val="hybridMultilevel"/>
    <w:tmpl w:val="3140CB8E"/>
    <w:lvl w:ilvl="0" w:tplc="A9E2D030">
      <w:numFmt w:val="decimal"/>
      <w:lvlText w:val="%1."/>
      <w:lvlJc w:val="right"/>
      <w:pPr>
        <w:tabs>
          <w:tab w:val="num" w:pos="680"/>
        </w:tabs>
        <w:ind w:left="68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9D15A3"/>
    <w:multiLevelType w:val="hybridMultilevel"/>
    <w:tmpl w:val="2DA47950"/>
    <w:lvl w:ilvl="0" w:tplc="A9E2D030">
      <w:numFmt w:val="decimal"/>
      <w:lvlText w:val="%1."/>
      <w:lvlJc w:val="right"/>
      <w:pPr>
        <w:tabs>
          <w:tab w:val="num" w:pos="680"/>
        </w:tabs>
        <w:ind w:left="68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A5E"/>
    <w:rsid w:val="000056AA"/>
    <w:rsid w:val="000A6A79"/>
    <w:rsid w:val="000C3BB6"/>
    <w:rsid w:val="000C7F5E"/>
    <w:rsid w:val="000E2349"/>
    <w:rsid w:val="000F5A5E"/>
    <w:rsid w:val="00130A91"/>
    <w:rsid w:val="00182D63"/>
    <w:rsid w:val="001D3747"/>
    <w:rsid w:val="00205892"/>
    <w:rsid w:val="0029133C"/>
    <w:rsid w:val="002971D9"/>
    <w:rsid w:val="00300A25"/>
    <w:rsid w:val="003448CD"/>
    <w:rsid w:val="003705C9"/>
    <w:rsid w:val="003A3E80"/>
    <w:rsid w:val="003B6C4A"/>
    <w:rsid w:val="003B7C61"/>
    <w:rsid w:val="004166B9"/>
    <w:rsid w:val="00423B95"/>
    <w:rsid w:val="00440B39"/>
    <w:rsid w:val="004C62EC"/>
    <w:rsid w:val="004D2759"/>
    <w:rsid w:val="004E70CA"/>
    <w:rsid w:val="004F645D"/>
    <w:rsid w:val="00504039"/>
    <w:rsid w:val="0052610A"/>
    <w:rsid w:val="00562001"/>
    <w:rsid w:val="00562183"/>
    <w:rsid w:val="00596A20"/>
    <w:rsid w:val="005C08E1"/>
    <w:rsid w:val="005C6FFF"/>
    <w:rsid w:val="00677AE1"/>
    <w:rsid w:val="006B54F7"/>
    <w:rsid w:val="006C5A9A"/>
    <w:rsid w:val="006E2DB6"/>
    <w:rsid w:val="006F0F8C"/>
    <w:rsid w:val="006F355D"/>
    <w:rsid w:val="00720CA9"/>
    <w:rsid w:val="007362AE"/>
    <w:rsid w:val="00764AB9"/>
    <w:rsid w:val="00777102"/>
    <w:rsid w:val="00794966"/>
    <w:rsid w:val="007A37E2"/>
    <w:rsid w:val="007B2EE7"/>
    <w:rsid w:val="007B3C6F"/>
    <w:rsid w:val="00823B6B"/>
    <w:rsid w:val="0084710C"/>
    <w:rsid w:val="00855CAE"/>
    <w:rsid w:val="008B14D1"/>
    <w:rsid w:val="00974F87"/>
    <w:rsid w:val="00977BE1"/>
    <w:rsid w:val="00981EEB"/>
    <w:rsid w:val="00A02697"/>
    <w:rsid w:val="00A7434E"/>
    <w:rsid w:val="00A87E89"/>
    <w:rsid w:val="00AB1374"/>
    <w:rsid w:val="00AB14FB"/>
    <w:rsid w:val="00AB178F"/>
    <w:rsid w:val="00B159D4"/>
    <w:rsid w:val="00BD1939"/>
    <w:rsid w:val="00C04857"/>
    <w:rsid w:val="00C65683"/>
    <w:rsid w:val="00CC410F"/>
    <w:rsid w:val="00CE77F4"/>
    <w:rsid w:val="00D258A5"/>
    <w:rsid w:val="00D60CE4"/>
    <w:rsid w:val="00D8397A"/>
    <w:rsid w:val="00D86D94"/>
    <w:rsid w:val="00DE3C30"/>
    <w:rsid w:val="00E06863"/>
    <w:rsid w:val="00E74787"/>
    <w:rsid w:val="00EA35F1"/>
    <w:rsid w:val="00EB4778"/>
    <w:rsid w:val="00ED3927"/>
    <w:rsid w:val="00F50EFD"/>
    <w:rsid w:val="00F70DCD"/>
    <w:rsid w:val="00F86F31"/>
    <w:rsid w:val="00FA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F0F8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434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0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434E"/>
    <w:rPr>
      <w:rFonts w:ascii="Cambria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semiHidden/>
    <w:rsid w:val="00B159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TOCHeading">
    <w:name w:val="TOC Heading"/>
    <w:basedOn w:val="Heading1"/>
    <w:next w:val="Normal"/>
    <w:uiPriority w:val="99"/>
    <w:qFormat/>
    <w:rsid w:val="00D8397A"/>
    <w:pPr>
      <w:outlineLvl w:val="9"/>
    </w:pPr>
    <w:rPr>
      <w:sz w:val="28"/>
      <w:lang w:eastAsia="hu-HU"/>
    </w:rPr>
  </w:style>
  <w:style w:type="paragraph" w:styleId="TOC1">
    <w:name w:val="toc 1"/>
    <w:basedOn w:val="Normal"/>
    <w:next w:val="Normal"/>
    <w:autoRedefine/>
    <w:uiPriority w:val="99"/>
    <w:rsid w:val="00D8397A"/>
    <w:pPr>
      <w:spacing w:after="100"/>
    </w:pPr>
  </w:style>
  <w:style w:type="character" w:styleId="Hyperlink">
    <w:name w:val="Hyperlink"/>
    <w:basedOn w:val="DefaultParagraphFont"/>
    <w:uiPriority w:val="99"/>
    <w:rsid w:val="00D8397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8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39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D3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392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D3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3927"/>
    <w:rPr>
      <w:rFonts w:cs="Times New Roman"/>
    </w:rPr>
  </w:style>
  <w:style w:type="table" w:styleId="TableGrid">
    <w:name w:val="Table Grid"/>
    <w:basedOn w:val="TableNormal"/>
    <w:uiPriority w:val="99"/>
    <w:locked/>
    <w:rsid w:val="00C65683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9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sonka-bp.sulinet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onka-bp.sulinet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23</Pages>
  <Words>4204</Words>
  <Characters>29011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229/2012</dc:title>
  <dc:subject/>
  <dc:creator>Anyuci</dc:creator>
  <cp:keywords/>
  <dc:description/>
  <cp:lastModifiedBy>Csonka</cp:lastModifiedBy>
  <cp:revision>25</cp:revision>
  <dcterms:created xsi:type="dcterms:W3CDTF">2015-01-05T09:12:00Z</dcterms:created>
  <dcterms:modified xsi:type="dcterms:W3CDTF">2015-01-06T13:54:00Z</dcterms:modified>
</cp:coreProperties>
</file>